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3F" w:rsidRPr="00D74270" w:rsidRDefault="0049063F" w:rsidP="0049063F">
      <w:pPr>
        <w:spacing w:line="480" w:lineRule="auto"/>
        <w:jc w:val="center"/>
        <w:rPr>
          <w:rFonts w:ascii="Times New Roman" w:hAnsi="Times New Roman" w:cs="Times New Roman"/>
          <w:b/>
          <w:sz w:val="32"/>
          <w:szCs w:val="32"/>
          <w:u w:val="single"/>
        </w:rPr>
      </w:pPr>
      <w:r w:rsidRPr="00D74270">
        <w:rPr>
          <w:rFonts w:ascii="Times New Roman" w:hAnsi="Times New Roman" w:cs="Times New Roman"/>
          <w:b/>
          <w:sz w:val="32"/>
          <w:szCs w:val="32"/>
          <w:u w:val="single"/>
        </w:rPr>
        <w:t>www.credithirebarrister.com</w:t>
      </w:r>
    </w:p>
    <w:p w:rsidR="0067544F" w:rsidRPr="00D74270" w:rsidRDefault="00C47F48" w:rsidP="00C47F48">
      <w:pPr>
        <w:spacing w:line="480" w:lineRule="auto"/>
        <w:jc w:val="center"/>
        <w:rPr>
          <w:rFonts w:ascii="Times New Roman" w:hAnsi="Times New Roman" w:cs="Times New Roman"/>
          <w:b/>
          <w:sz w:val="32"/>
          <w:szCs w:val="32"/>
          <w:u w:val="single"/>
        </w:rPr>
      </w:pPr>
      <w:r w:rsidRPr="00D74270">
        <w:rPr>
          <w:rFonts w:ascii="Times New Roman" w:hAnsi="Times New Roman" w:cs="Times New Roman"/>
          <w:b/>
          <w:sz w:val="32"/>
          <w:szCs w:val="32"/>
          <w:u w:val="single"/>
        </w:rPr>
        <w:t>Comprehensive insurance, courtesy cars and credit hire</w:t>
      </w:r>
    </w:p>
    <w:p w:rsidR="00C47F48" w:rsidRPr="00D74270" w:rsidRDefault="00C47F48" w:rsidP="00C47F48">
      <w:pPr>
        <w:spacing w:line="480" w:lineRule="auto"/>
        <w:jc w:val="center"/>
        <w:rPr>
          <w:rFonts w:ascii="Times New Roman" w:hAnsi="Times New Roman" w:cs="Times New Roman"/>
          <w:b/>
          <w:sz w:val="32"/>
          <w:szCs w:val="32"/>
          <w:u w:val="single"/>
        </w:rPr>
      </w:pPr>
      <w:r w:rsidRPr="00D74270">
        <w:rPr>
          <w:rFonts w:ascii="Times New Roman" w:hAnsi="Times New Roman" w:cs="Times New Roman"/>
          <w:b/>
          <w:sz w:val="32"/>
          <w:szCs w:val="32"/>
          <w:u w:val="single"/>
        </w:rPr>
        <w:t>By Andrew Hogan</w:t>
      </w:r>
      <w:r w:rsidRPr="00D74270">
        <w:rPr>
          <w:rStyle w:val="FootnoteReference"/>
          <w:rFonts w:ascii="Times New Roman" w:hAnsi="Times New Roman" w:cs="Times New Roman"/>
          <w:b/>
          <w:sz w:val="32"/>
          <w:szCs w:val="32"/>
          <w:u w:val="single"/>
        </w:rPr>
        <w:footnoteReference w:id="1"/>
      </w:r>
    </w:p>
    <w:p w:rsidR="00C47F48" w:rsidRPr="00A85300" w:rsidRDefault="00C47F48" w:rsidP="00C47F48">
      <w:pPr>
        <w:spacing w:line="480" w:lineRule="auto"/>
        <w:rPr>
          <w:rFonts w:ascii="Times New Roman" w:hAnsi="Times New Roman" w:cs="Times New Roman"/>
          <w:b/>
          <w:sz w:val="28"/>
          <w:szCs w:val="28"/>
          <w:u w:val="single"/>
        </w:rPr>
      </w:pPr>
      <w:r w:rsidRPr="00A85300">
        <w:rPr>
          <w:rFonts w:ascii="Times New Roman" w:hAnsi="Times New Roman" w:cs="Times New Roman"/>
          <w:b/>
          <w:sz w:val="28"/>
          <w:szCs w:val="28"/>
          <w:u w:val="single"/>
        </w:rPr>
        <w:t>Introduction</w:t>
      </w:r>
    </w:p>
    <w:p w:rsidR="00C47F48" w:rsidRPr="00F2290C" w:rsidRDefault="00A85300" w:rsidP="00C47F48">
      <w:pPr>
        <w:spacing w:line="480" w:lineRule="auto"/>
        <w:rPr>
          <w:rFonts w:ascii="Times New Roman" w:hAnsi="Times New Roman" w:cs="Times New Roman"/>
          <w:sz w:val="28"/>
          <w:szCs w:val="28"/>
        </w:rPr>
      </w:pPr>
      <w:r>
        <w:rPr>
          <w:rFonts w:ascii="Times New Roman" w:hAnsi="Times New Roman" w:cs="Times New Roman"/>
          <w:sz w:val="28"/>
          <w:szCs w:val="28"/>
        </w:rPr>
        <w:t>1</w:t>
      </w:r>
      <w:r w:rsidR="003A7F24" w:rsidRPr="00F2290C">
        <w:rPr>
          <w:rFonts w:ascii="Times New Roman" w:hAnsi="Times New Roman" w:cs="Times New Roman"/>
          <w:sz w:val="28"/>
          <w:szCs w:val="28"/>
        </w:rPr>
        <w:t>.</w:t>
      </w:r>
      <w:r w:rsidR="00C47F48" w:rsidRPr="00F2290C">
        <w:rPr>
          <w:rFonts w:ascii="Times New Roman" w:hAnsi="Times New Roman" w:cs="Times New Roman"/>
          <w:sz w:val="28"/>
          <w:szCs w:val="28"/>
        </w:rPr>
        <w:tab/>
        <w:t xml:space="preserve">Some credit hire </w:t>
      </w:r>
      <w:r w:rsidR="009D5AA6">
        <w:rPr>
          <w:rFonts w:ascii="Times New Roman" w:hAnsi="Times New Roman" w:cs="Times New Roman"/>
          <w:sz w:val="28"/>
          <w:szCs w:val="28"/>
        </w:rPr>
        <w:t>claims, particularly where the c</w:t>
      </w:r>
      <w:r w:rsidR="00C47F48" w:rsidRPr="00F2290C">
        <w:rPr>
          <w:rFonts w:ascii="Times New Roman" w:hAnsi="Times New Roman" w:cs="Times New Roman"/>
          <w:sz w:val="28"/>
          <w:szCs w:val="28"/>
        </w:rPr>
        <w:t>laimant is impecunious and without ready funds to replace a wrecked motor vehicle, can swiftly rise to many thousands or tens of tho</w:t>
      </w:r>
      <w:r w:rsidR="009D5AA6">
        <w:rPr>
          <w:rFonts w:ascii="Times New Roman" w:hAnsi="Times New Roman" w:cs="Times New Roman"/>
          <w:sz w:val="28"/>
          <w:szCs w:val="28"/>
        </w:rPr>
        <w:t>usands of pounds. Sometimes, a c</w:t>
      </w:r>
      <w:r w:rsidR="00C47F48" w:rsidRPr="00F2290C">
        <w:rPr>
          <w:rFonts w:ascii="Times New Roman" w:hAnsi="Times New Roman" w:cs="Times New Roman"/>
          <w:sz w:val="28"/>
          <w:szCs w:val="28"/>
        </w:rPr>
        <w:t xml:space="preserve">laimant may have the benefit of a comprehensive insurance policy, which, if called upon would permit the replacement of the car and prevent substantial credit hire charges from accruing. </w:t>
      </w:r>
    </w:p>
    <w:p w:rsidR="003A7F24" w:rsidRPr="00F2290C" w:rsidRDefault="003A7F24" w:rsidP="003A7F24">
      <w:pPr>
        <w:spacing w:line="480" w:lineRule="auto"/>
        <w:rPr>
          <w:rFonts w:ascii="Times New Roman" w:hAnsi="Times New Roman" w:cs="Times New Roman"/>
          <w:sz w:val="28"/>
          <w:szCs w:val="28"/>
        </w:rPr>
      </w:pPr>
    </w:p>
    <w:p w:rsidR="00C47F48"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t>2</w:t>
      </w:r>
      <w:r w:rsidR="003A7F24" w:rsidRPr="00F2290C">
        <w:rPr>
          <w:rFonts w:ascii="Times New Roman" w:hAnsi="Times New Roman" w:cs="Times New Roman"/>
          <w:sz w:val="28"/>
          <w:szCs w:val="28"/>
        </w:rPr>
        <w:t>.</w:t>
      </w:r>
      <w:r w:rsidR="003A7F24" w:rsidRPr="00F2290C">
        <w:rPr>
          <w:rFonts w:ascii="Times New Roman" w:hAnsi="Times New Roman" w:cs="Times New Roman"/>
          <w:sz w:val="28"/>
          <w:szCs w:val="28"/>
        </w:rPr>
        <w:tab/>
      </w:r>
      <w:r w:rsidR="00C47F48" w:rsidRPr="00F2290C">
        <w:rPr>
          <w:rFonts w:ascii="Times New Roman" w:hAnsi="Times New Roman" w:cs="Times New Roman"/>
          <w:sz w:val="28"/>
          <w:szCs w:val="28"/>
        </w:rPr>
        <w:t>Often</w:t>
      </w:r>
      <w:r w:rsidR="009D5AA6">
        <w:rPr>
          <w:rFonts w:ascii="Times New Roman" w:hAnsi="Times New Roman" w:cs="Times New Roman"/>
          <w:sz w:val="28"/>
          <w:szCs w:val="28"/>
        </w:rPr>
        <w:t xml:space="preserve"> the c</w:t>
      </w:r>
      <w:r w:rsidR="00C47F48" w:rsidRPr="00F2290C">
        <w:rPr>
          <w:rFonts w:ascii="Times New Roman" w:hAnsi="Times New Roman" w:cs="Times New Roman"/>
          <w:sz w:val="28"/>
          <w:szCs w:val="28"/>
        </w:rPr>
        <w:t xml:space="preserve">laimant will elect not to </w:t>
      </w:r>
      <w:r w:rsidR="009D5AA6">
        <w:rPr>
          <w:rFonts w:ascii="Times New Roman" w:hAnsi="Times New Roman" w:cs="Times New Roman"/>
          <w:sz w:val="28"/>
          <w:szCs w:val="28"/>
        </w:rPr>
        <w:t xml:space="preserve">make a claim on </w:t>
      </w:r>
      <w:r w:rsidR="00C47F48" w:rsidRPr="00F2290C">
        <w:rPr>
          <w:rFonts w:ascii="Times New Roman" w:hAnsi="Times New Roman" w:cs="Times New Roman"/>
          <w:sz w:val="28"/>
          <w:szCs w:val="28"/>
        </w:rPr>
        <w:t>his comprehensive insurance</w:t>
      </w:r>
      <w:r w:rsidR="009D5AA6">
        <w:rPr>
          <w:rFonts w:ascii="Times New Roman" w:hAnsi="Times New Roman" w:cs="Times New Roman"/>
          <w:sz w:val="28"/>
          <w:szCs w:val="28"/>
        </w:rPr>
        <w:t xml:space="preserve"> policy</w:t>
      </w:r>
      <w:r w:rsidR="00C47F48" w:rsidRPr="00F2290C">
        <w:rPr>
          <w:rFonts w:ascii="Times New Roman" w:hAnsi="Times New Roman" w:cs="Times New Roman"/>
          <w:sz w:val="28"/>
          <w:szCs w:val="28"/>
        </w:rPr>
        <w:t xml:space="preserve">, fearing that it might lead to the loss of a no-claims bonus, or otherwise prejudice his ability to obtain motor insurance in the future. </w:t>
      </w:r>
    </w:p>
    <w:p w:rsidR="003A7F24" w:rsidRPr="00F2290C" w:rsidRDefault="003A7F24" w:rsidP="003A7F24">
      <w:pPr>
        <w:spacing w:line="480" w:lineRule="auto"/>
        <w:rPr>
          <w:rFonts w:ascii="Times New Roman" w:hAnsi="Times New Roman" w:cs="Times New Roman"/>
          <w:sz w:val="28"/>
          <w:szCs w:val="28"/>
        </w:rPr>
      </w:pPr>
    </w:p>
    <w:p w:rsidR="00C47F48"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t>3</w:t>
      </w:r>
      <w:r w:rsidR="003A7F24" w:rsidRPr="00F2290C">
        <w:rPr>
          <w:rFonts w:ascii="Times New Roman" w:hAnsi="Times New Roman" w:cs="Times New Roman"/>
          <w:sz w:val="28"/>
          <w:szCs w:val="28"/>
        </w:rPr>
        <w:t>.</w:t>
      </w:r>
      <w:r w:rsidR="003A7F24" w:rsidRPr="00F2290C">
        <w:rPr>
          <w:rFonts w:ascii="Times New Roman" w:hAnsi="Times New Roman" w:cs="Times New Roman"/>
          <w:sz w:val="28"/>
          <w:szCs w:val="28"/>
        </w:rPr>
        <w:tab/>
      </w:r>
      <w:r w:rsidR="009D5AA6">
        <w:rPr>
          <w:rFonts w:ascii="Times New Roman" w:hAnsi="Times New Roman" w:cs="Times New Roman"/>
          <w:sz w:val="28"/>
          <w:szCs w:val="28"/>
        </w:rPr>
        <w:t>If such a c</w:t>
      </w:r>
      <w:r w:rsidR="00C47F48" w:rsidRPr="00F2290C">
        <w:rPr>
          <w:rFonts w:ascii="Times New Roman" w:hAnsi="Times New Roman" w:cs="Times New Roman"/>
          <w:sz w:val="28"/>
          <w:szCs w:val="28"/>
        </w:rPr>
        <w:t xml:space="preserve">laimant chooses not to make a claim </w:t>
      </w:r>
      <w:r w:rsidR="009D5AA6">
        <w:rPr>
          <w:rFonts w:ascii="Times New Roman" w:hAnsi="Times New Roman" w:cs="Times New Roman"/>
          <w:sz w:val="28"/>
          <w:szCs w:val="28"/>
        </w:rPr>
        <w:t xml:space="preserve">on his comprehensive insurance, does this </w:t>
      </w:r>
      <w:r w:rsidR="00C47F48" w:rsidRPr="00F2290C">
        <w:rPr>
          <w:rFonts w:ascii="Times New Roman" w:hAnsi="Times New Roman" w:cs="Times New Roman"/>
          <w:sz w:val="28"/>
          <w:szCs w:val="28"/>
        </w:rPr>
        <w:t>constitute</w:t>
      </w:r>
      <w:r w:rsidR="009D5AA6">
        <w:rPr>
          <w:rFonts w:ascii="Times New Roman" w:hAnsi="Times New Roman" w:cs="Times New Roman"/>
          <w:sz w:val="28"/>
          <w:szCs w:val="28"/>
        </w:rPr>
        <w:t xml:space="preserve"> a failure to mitigate his </w:t>
      </w:r>
      <w:proofErr w:type="gramStart"/>
      <w:r w:rsidR="009D5AA6">
        <w:rPr>
          <w:rFonts w:ascii="Times New Roman" w:hAnsi="Times New Roman" w:cs="Times New Roman"/>
          <w:sz w:val="28"/>
          <w:szCs w:val="28"/>
        </w:rPr>
        <w:t>loss ?</w:t>
      </w:r>
      <w:proofErr w:type="gramEnd"/>
      <w:r w:rsidR="009D5AA6">
        <w:rPr>
          <w:rFonts w:ascii="Times New Roman" w:hAnsi="Times New Roman" w:cs="Times New Roman"/>
          <w:sz w:val="28"/>
          <w:szCs w:val="28"/>
        </w:rPr>
        <w:t xml:space="preserve"> To date those representing claimants have argued successfully that</w:t>
      </w:r>
      <w:r w:rsidR="00C47F48" w:rsidRPr="00F2290C">
        <w:rPr>
          <w:rFonts w:ascii="Times New Roman" w:hAnsi="Times New Roman" w:cs="Times New Roman"/>
          <w:sz w:val="28"/>
          <w:szCs w:val="28"/>
        </w:rPr>
        <w:t xml:space="preserve"> because independently </w:t>
      </w:r>
      <w:r w:rsidR="00C47F48" w:rsidRPr="00F2290C">
        <w:rPr>
          <w:rFonts w:ascii="Times New Roman" w:hAnsi="Times New Roman" w:cs="Times New Roman"/>
          <w:sz w:val="28"/>
          <w:szCs w:val="28"/>
        </w:rPr>
        <w:lastRenderedPageBreak/>
        <w:t>purchase</w:t>
      </w:r>
      <w:r w:rsidR="009D5AA6">
        <w:rPr>
          <w:rFonts w:ascii="Times New Roman" w:hAnsi="Times New Roman" w:cs="Times New Roman"/>
          <w:sz w:val="28"/>
          <w:szCs w:val="28"/>
        </w:rPr>
        <w:t>d</w:t>
      </w:r>
      <w:r w:rsidR="00C47F48" w:rsidRPr="00F2290C">
        <w:rPr>
          <w:rFonts w:ascii="Times New Roman" w:hAnsi="Times New Roman" w:cs="Times New Roman"/>
          <w:sz w:val="28"/>
          <w:szCs w:val="28"/>
        </w:rPr>
        <w:t xml:space="preserve"> insurance benefi</w:t>
      </w:r>
      <w:r w:rsidR="009D5AA6">
        <w:rPr>
          <w:rFonts w:ascii="Times New Roman" w:hAnsi="Times New Roman" w:cs="Times New Roman"/>
          <w:sz w:val="28"/>
          <w:szCs w:val="28"/>
        </w:rPr>
        <w:t xml:space="preserve">ts are to be regarded as </w:t>
      </w:r>
      <w:r w:rsidR="009D5AA6" w:rsidRPr="009D5AA6">
        <w:rPr>
          <w:rFonts w:ascii="Times New Roman" w:hAnsi="Times New Roman" w:cs="Times New Roman"/>
          <w:i/>
          <w:sz w:val="28"/>
          <w:szCs w:val="28"/>
        </w:rPr>
        <w:t xml:space="preserve">res inter </w:t>
      </w:r>
      <w:proofErr w:type="spellStart"/>
      <w:r w:rsidR="009D5AA6" w:rsidRPr="009D5AA6">
        <w:rPr>
          <w:rFonts w:ascii="Times New Roman" w:hAnsi="Times New Roman" w:cs="Times New Roman"/>
          <w:i/>
          <w:sz w:val="28"/>
          <w:szCs w:val="28"/>
        </w:rPr>
        <w:t>alios</w:t>
      </w:r>
      <w:proofErr w:type="spellEnd"/>
      <w:r w:rsidR="009D5AA6" w:rsidRPr="009D5AA6">
        <w:rPr>
          <w:rFonts w:ascii="Times New Roman" w:hAnsi="Times New Roman" w:cs="Times New Roman"/>
          <w:i/>
          <w:sz w:val="28"/>
          <w:szCs w:val="28"/>
        </w:rPr>
        <w:t xml:space="preserve"> </w:t>
      </w:r>
      <w:proofErr w:type="spellStart"/>
      <w:r w:rsidR="009D5AA6" w:rsidRPr="009D5AA6">
        <w:rPr>
          <w:rFonts w:ascii="Times New Roman" w:hAnsi="Times New Roman" w:cs="Times New Roman"/>
          <w:i/>
          <w:sz w:val="28"/>
          <w:szCs w:val="28"/>
        </w:rPr>
        <w:t>acta</w:t>
      </w:r>
      <w:proofErr w:type="spellEnd"/>
      <w:r w:rsidR="009D5AA6">
        <w:rPr>
          <w:rFonts w:ascii="Times New Roman" w:hAnsi="Times New Roman" w:cs="Times New Roman"/>
          <w:sz w:val="28"/>
          <w:szCs w:val="28"/>
        </w:rPr>
        <w:t>, they may not be relied upon by a d</w:t>
      </w:r>
      <w:r w:rsidR="00C47F48" w:rsidRPr="00F2290C">
        <w:rPr>
          <w:rFonts w:ascii="Times New Roman" w:hAnsi="Times New Roman" w:cs="Times New Roman"/>
          <w:sz w:val="28"/>
          <w:szCs w:val="28"/>
        </w:rPr>
        <w:t xml:space="preserve">efendant </w:t>
      </w:r>
      <w:proofErr w:type="spellStart"/>
      <w:r w:rsidR="00C47F48" w:rsidRPr="00F2290C">
        <w:rPr>
          <w:rFonts w:ascii="Times New Roman" w:hAnsi="Times New Roman" w:cs="Times New Roman"/>
          <w:sz w:val="28"/>
          <w:szCs w:val="28"/>
        </w:rPr>
        <w:t>tortfeasor</w:t>
      </w:r>
      <w:proofErr w:type="spellEnd"/>
      <w:r w:rsidR="00C47F48" w:rsidRPr="00F2290C">
        <w:rPr>
          <w:rFonts w:ascii="Times New Roman" w:hAnsi="Times New Roman" w:cs="Times New Roman"/>
          <w:sz w:val="28"/>
          <w:szCs w:val="28"/>
        </w:rPr>
        <w:t xml:space="preserve"> to reduce or e</w:t>
      </w:r>
      <w:r w:rsidR="009D5AA6">
        <w:rPr>
          <w:rFonts w:ascii="Times New Roman" w:hAnsi="Times New Roman" w:cs="Times New Roman"/>
          <w:sz w:val="28"/>
          <w:szCs w:val="28"/>
        </w:rPr>
        <w:t>xtinguish his liability to the c</w:t>
      </w:r>
      <w:r w:rsidR="00C47F48" w:rsidRPr="00F2290C">
        <w:rPr>
          <w:rFonts w:ascii="Times New Roman" w:hAnsi="Times New Roman" w:cs="Times New Roman"/>
          <w:sz w:val="28"/>
          <w:szCs w:val="28"/>
        </w:rPr>
        <w:t xml:space="preserve">laimant. </w:t>
      </w:r>
    </w:p>
    <w:p w:rsidR="003A7F24" w:rsidRPr="00F2290C" w:rsidRDefault="003A7F24" w:rsidP="003A7F24">
      <w:pPr>
        <w:spacing w:line="480" w:lineRule="auto"/>
        <w:rPr>
          <w:rFonts w:ascii="Times New Roman" w:hAnsi="Times New Roman" w:cs="Times New Roman"/>
          <w:sz w:val="28"/>
          <w:szCs w:val="28"/>
        </w:rPr>
      </w:pPr>
    </w:p>
    <w:p w:rsidR="00A85300"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t>4</w:t>
      </w:r>
      <w:r w:rsidR="003A7F24" w:rsidRPr="00F2290C">
        <w:rPr>
          <w:rFonts w:ascii="Times New Roman" w:hAnsi="Times New Roman" w:cs="Times New Roman"/>
          <w:sz w:val="28"/>
          <w:szCs w:val="28"/>
        </w:rPr>
        <w:t>.</w:t>
      </w:r>
      <w:r w:rsidR="003A7F24" w:rsidRPr="00F2290C">
        <w:rPr>
          <w:rFonts w:ascii="Times New Roman" w:hAnsi="Times New Roman" w:cs="Times New Roman"/>
          <w:sz w:val="28"/>
          <w:szCs w:val="28"/>
        </w:rPr>
        <w:tab/>
      </w:r>
      <w:r w:rsidR="00C47F48" w:rsidRPr="00F2290C">
        <w:rPr>
          <w:rFonts w:ascii="Times New Roman" w:hAnsi="Times New Roman" w:cs="Times New Roman"/>
          <w:sz w:val="28"/>
          <w:szCs w:val="28"/>
        </w:rPr>
        <w:t>But there are respectable arguments that</w:t>
      </w:r>
      <w:r w:rsidR="009D5AA6">
        <w:rPr>
          <w:rFonts w:ascii="Times New Roman" w:hAnsi="Times New Roman" w:cs="Times New Roman"/>
          <w:sz w:val="28"/>
          <w:szCs w:val="28"/>
        </w:rPr>
        <w:t xml:space="preserve"> even</w:t>
      </w:r>
      <w:r w:rsidR="00C47F48" w:rsidRPr="00F2290C">
        <w:rPr>
          <w:rFonts w:ascii="Times New Roman" w:hAnsi="Times New Roman" w:cs="Times New Roman"/>
          <w:sz w:val="28"/>
          <w:szCs w:val="28"/>
        </w:rPr>
        <w:t xml:space="preserve"> on the basis of</w:t>
      </w:r>
      <w:r w:rsidR="003A7F24" w:rsidRPr="00F2290C">
        <w:rPr>
          <w:rFonts w:ascii="Times New Roman" w:hAnsi="Times New Roman" w:cs="Times New Roman"/>
          <w:sz w:val="28"/>
          <w:szCs w:val="28"/>
        </w:rPr>
        <w:t xml:space="preserve"> the</w:t>
      </w:r>
      <w:r w:rsidR="00C47F48" w:rsidRPr="00F2290C">
        <w:rPr>
          <w:rFonts w:ascii="Times New Roman" w:hAnsi="Times New Roman" w:cs="Times New Roman"/>
          <w:sz w:val="28"/>
          <w:szCs w:val="28"/>
        </w:rPr>
        <w:t xml:space="preserve"> existing authorities, </w:t>
      </w:r>
      <w:r w:rsidR="003A7F24" w:rsidRPr="00F2290C">
        <w:rPr>
          <w:rFonts w:ascii="Times New Roman" w:hAnsi="Times New Roman" w:cs="Times New Roman"/>
          <w:sz w:val="28"/>
          <w:szCs w:val="28"/>
        </w:rPr>
        <w:t xml:space="preserve">the argument that </w:t>
      </w:r>
      <w:r w:rsidR="009D5AA6">
        <w:rPr>
          <w:rFonts w:ascii="Times New Roman" w:hAnsi="Times New Roman" w:cs="Times New Roman"/>
          <w:sz w:val="28"/>
          <w:szCs w:val="28"/>
        </w:rPr>
        <w:t>failure to claim on a</w:t>
      </w:r>
      <w:r w:rsidR="00C47F48" w:rsidRPr="00F2290C">
        <w:rPr>
          <w:rFonts w:ascii="Times New Roman" w:hAnsi="Times New Roman" w:cs="Times New Roman"/>
          <w:sz w:val="28"/>
          <w:szCs w:val="28"/>
        </w:rPr>
        <w:t xml:space="preserve"> comprehensive insurance</w:t>
      </w:r>
      <w:r w:rsidR="009D5AA6">
        <w:rPr>
          <w:rFonts w:ascii="Times New Roman" w:hAnsi="Times New Roman" w:cs="Times New Roman"/>
          <w:sz w:val="28"/>
          <w:szCs w:val="28"/>
        </w:rPr>
        <w:t xml:space="preserve"> policy</w:t>
      </w:r>
      <w:r w:rsidR="00C47F48" w:rsidRPr="00F2290C">
        <w:rPr>
          <w:rFonts w:ascii="Times New Roman" w:hAnsi="Times New Roman" w:cs="Times New Roman"/>
          <w:sz w:val="28"/>
          <w:szCs w:val="28"/>
        </w:rPr>
        <w:t xml:space="preserve"> to mitigate </w:t>
      </w:r>
      <w:proofErr w:type="gramStart"/>
      <w:r w:rsidR="00C47F48" w:rsidRPr="00F2290C">
        <w:rPr>
          <w:rFonts w:ascii="Times New Roman" w:hAnsi="Times New Roman" w:cs="Times New Roman"/>
          <w:sz w:val="28"/>
          <w:szCs w:val="28"/>
        </w:rPr>
        <w:t>loss</w:t>
      </w:r>
      <w:r w:rsidR="009D5AA6">
        <w:rPr>
          <w:rFonts w:ascii="Times New Roman" w:hAnsi="Times New Roman" w:cs="Times New Roman"/>
          <w:sz w:val="28"/>
          <w:szCs w:val="28"/>
        </w:rPr>
        <w:t>,</w:t>
      </w:r>
      <w:proofErr w:type="gramEnd"/>
      <w:r w:rsidR="00C47F48" w:rsidRPr="00F2290C">
        <w:rPr>
          <w:rFonts w:ascii="Times New Roman" w:hAnsi="Times New Roman" w:cs="Times New Roman"/>
          <w:sz w:val="28"/>
          <w:szCs w:val="28"/>
        </w:rPr>
        <w:t xml:space="preserve"> is a legitimate point for a </w:t>
      </w:r>
      <w:proofErr w:type="spellStart"/>
      <w:r w:rsidR="00C47F48" w:rsidRPr="00F2290C">
        <w:rPr>
          <w:rFonts w:ascii="Times New Roman" w:hAnsi="Times New Roman" w:cs="Times New Roman"/>
          <w:sz w:val="28"/>
          <w:szCs w:val="28"/>
        </w:rPr>
        <w:t>tortfeasor</w:t>
      </w:r>
      <w:proofErr w:type="spellEnd"/>
      <w:r w:rsidR="00C47F48" w:rsidRPr="00F2290C">
        <w:rPr>
          <w:rFonts w:ascii="Times New Roman" w:hAnsi="Times New Roman" w:cs="Times New Roman"/>
          <w:sz w:val="28"/>
          <w:szCs w:val="28"/>
        </w:rPr>
        <w:t xml:space="preserve"> to take</w:t>
      </w:r>
      <w:r w:rsidR="003A7F24" w:rsidRPr="00F2290C">
        <w:rPr>
          <w:rFonts w:ascii="Times New Roman" w:hAnsi="Times New Roman" w:cs="Times New Roman"/>
          <w:sz w:val="28"/>
          <w:szCs w:val="28"/>
        </w:rPr>
        <w:t xml:space="preserve">. </w:t>
      </w:r>
    </w:p>
    <w:p w:rsidR="009D5AA6" w:rsidRDefault="009D5AA6" w:rsidP="003A7F24">
      <w:pPr>
        <w:spacing w:line="480" w:lineRule="auto"/>
        <w:rPr>
          <w:rFonts w:ascii="Times New Roman" w:hAnsi="Times New Roman" w:cs="Times New Roman"/>
          <w:sz w:val="28"/>
          <w:szCs w:val="28"/>
        </w:rPr>
      </w:pPr>
    </w:p>
    <w:p w:rsidR="003A7F24"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A7F24" w:rsidRPr="00F2290C">
        <w:rPr>
          <w:rFonts w:ascii="Times New Roman" w:hAnsi="Times New Roman" w:cs="Times New Roman"/>
          <w:sz w:val="28"/>
          <w:szCs w:val="28"/>
        </w:rPr>
        <w:t>There are further arguments derived from American jurisprudence, which</w:t>
      </w:r>
      <w:r w:rsidR="009D5AA6">
        <w:rPr>
          <w:rFonts w:ascii="Times New Roman" w:hAnsi="Times New Roman" w:cs="Times New Roman"/>
          <w:sz w:val="28"/>
          <w:szCs w:val="28"/>
        </w:rPr>
        <w:t xml:space="preserve"> would go further and indicate that, </w:t>
      </w:r>
      <w:r w:rsidR="003A7F24" w:rsidRPr="00F2290C">
        <w:rPr>
          <w:rFonts w:ascii="Times New Roman" w:hAnsi="Times New Roman" w:cs="Times New Roman"/>
          <w:sz w:val="28"/>
          <w:szCs w:val="28"/>
        </w:rPr>
        <w:t>it is an area where the legislature can reform the law, to produce what some commentators would regard as a more just result.</w:t>
      </w:r>
    </w:p>
    <w:p w:rsidR="003A7F24" w:rsidRPr="00F2290C" w:rsidRDefault="003A7F24" w:rsidP="003A7F24">
      <w:pPr>
        <w:spacing w:line="480" w:lineRule="auto"/>
        <w:rPr>
          <w:rFonts w:ascii="Times New Roman" w:hAnsi="Times New Roman" w:cs="Times New Roman"/>
          <w:sz w:val="28"/>
          <w:szCs w:val="28"/>
        </w:rPr>
      </w:pPr>
    </w:p>
    <w:p w:rsidR="003A7F24" w:rsidRPr="00A85300" w:rsidRDefault="003A7F24" w:rsidP="003A7F24">
      <w:pPr>
        <w:spacing w:line="480" w:lineRule="auto"/>
        <w:rPr>
          <w:rFonts w:ascii="Times New Roman" w:hAnsi="Times New Roman" w:cs="Times New Roman"/>
          <w:b/>
          <w:sz w:val="28"/>
          <w:szCs w:val="28"/>
          <w:u w:val="single"/>
        </w:rPr>
      </w:pPr>
      <w:r w:rsidRPr="00A85300">
        <w:rPr>
          <w:rFonts w:ascii="Times New Roman" w:hAnsi="Times New Roman" w:cs="Times New Roman"/>
          <w:b/>
          <w:sz w:val="28"/>
          <w:szCs w:val="28"/>
          <w:u w:val="single"/>
        </w:rPr>
        <w:t xml:space="preserve">Res inter </w:t>
      </w:r>
      <w:proofErr w:type="spellStart"/>
      <w:r w:rsidRPr="00A85300">
        <w:rPr>
          <w:rFonts w:ascii="Times New Roman" w:hAnsi="Times New Roman" w:cs="Times New Roman"/>
          <w:b/>
          <w:sz w:val="28"/>
          <w:szCs w:val="28"/>
          <w:u w:val="single"/>
        </w:rPr>
        <w:t>alios</w:t>
      </w:r>
      <w:proofErr w:type="spellEnd"/>
      <w:r w:rsidRPr="00A85300">
        <w:rPr>
          <w:rFonts w:ascii="Times New Roman" w:hAnsi="Times New Roman" w:cs="Times New Roman"/>
          <w:b/>
          <w:sz w:val="28"/>
          <w:szCs w:val="28"/>
          <w:u w:val="single"/>
        </w:rPr>
        <w:t xml:space="preserve"> </w:t>
      </w:r>
      <w:proofErr w:type="spellStart"/>
      <w:r w:rsidRPr="00A85300">
        <w:rPr>
          <w:rFonts w:ascii="Times New Roman" w:hAnsi="Times New Roman" w:cs="Times New Roman"/>
          <w:b/>
          <w:sz w:val="28"/>
          <w:szCs w:val="28"/>
          <w:u w:val="single"/>
        </w:rPr>
        <w:t>acta</w:t>
      </w:r>
      <w:proofErr w:type="spellEnd"/>
      <w:r w:rsidRPr="00A85300">
        <w:rPr>
          <w:rFonts w:ascii="Times New Roman" w:hAnsi="Times New Roman" w:cs="Times New Roman"/>
          <w:b/>
          <w:sz w:val="28"/>
          <w:szCs w:val="28"/>
          <w:u w:val="single"/>
        </w:rPr>
        <w:t xml:space="preserve"> in English law</w:t>
      </w:r>
    </w:p>
    <w:p w:rsidR="00B32FCC"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t>6</w:t>
      </w:r>
      <w:r w:rsidR="003A7F24" w:rsidRPr="00F2290C">
        <w:rPr>
          <w:rFonts w:ascii="Times New Roman" w:hAnsi="Times New Roman" w:cs="Times New Roman"/>
          <w:sz w:val="28"/>
          <w:szCs w:val="28"/>
        </w:rPr>
        <w:t>.</w:t>
      </w:r>
      <w:r w:rsidR="003A7F24" w:rsidRPr="00F2290C">
        <w:rPr>
          <w:rFonts w:ascii="Times New Roman" w:hAnsi="Times New Roman" w:cs="Times New Roman"/>
          <w:sz w:val="28"/>
          <w:szCs w:val="28"/>
        </w:rPr>
        <w:tab/>
        <w:t xml:space="preserve">Any survey of English law on the principle of res inter </w:t>
      </w:r>
      <w:proofErr w:type="spellStart"/>
      <w:r w:rsidR="003A7F24" w:rsidRPr="00F2290C">
        <w:rPr>
          <w:rFonts w:ascii="Times New Roman" w:hAnsi="Times New Roman" w:cs="Times New Roman"/>
          <w:sz w:val="28"/>
          <w:szCs w:val="28"/>
        </w:rPr>
        <w:t>alios</w:t>
      </w:r>
      <w:proofErr w:type="spellEnd"/>
      <w:r w:rsidR="003A7F24" w:rsidRPr="00F2290C">
        <w:rPr>
          <w:rFonts w:ascii="Times New Roman" w:hAnsi="Times New Roman" w:cs="Times New Roman"/>
          <w:sz w:val="28"/>
          <w:szCs w:val="28"/>
        </w:rPr>
        <w:t xml:space="preserve"> </w:t>
      </w:r>
      <w:proofErr w:type="spellStart"/>
      <w:r w:rsidR="003A7F24" w:rsidRPr="00F2290C">
        <w:rPr>
          <w:rFonts w:ascii="Times New Roman" w:hAnsi="Times New Roman" w:cs="Times New Roman"/>
          <w:sz w:val="28"/>
          <w:szCs w:val="28"/>
        </w:rPr>
        <w:t>acta</w:t>
      </w:r>
      <w:proofErr w:type="spellEnd"/>
      <w:r w:rsidR="003A7F24" w:rsidRPr="00F2290C">
        <w:rPr>
          <w:rFonts w:ascii="Times New Roman" w:hAnsi="Times New Roman" w:cs="Times New Roman"/>
          <w:sz w:val="28"/>
          <w:szCs w:val="28"/>
        </w:rPr>
        <w:t xml:space="preserve">, starts with the case of </w:t>
      </w:r>
      <w:proofErr w:type="spellStart"/>
      <w:r w:rsidR="003A7F24" w:rsidRPr="0049063F">
        <w:rPr>
          <w:rFonts w:ascii="Times New Roman" w:hAnsi="Times New Roman" w:cs="Times New Roman"/>
          <w:b/>
          <w:sz w:val="28"/>
          <w:szCs w:val="28"/>
          <w:u w:val="single"/>
        </w:rPr>
        <w:t>Bradburn.v.The</w:t>
      </w:r>
      <w:proofErr w:type="spellEnd"/>
      <w:r w:rsidR="003A7F24" w:rsidRPr="0049063F">
        <w:rPr>
          <w:rFonts w:ascii="Times New Roman" w:hAnsi="Times New Roman" w:cs="Times New Roman"/>
          <w:b/>
          <w:sz w:val="28"/>
          <w:szCs w:val="28"/>
          <w:u w:val="single"/>
        </w:rPr>
        <w:t xml:space="preserve"> Great Western Railway Company</w:t>
      </w:r>
      <w:r w:rsidR="003A7F24" w:rsidRPr="00F2290C">
        <w:rPr>
          <w:rStyle w:val="FootnoteReference"/>
          <w:rFonts w:ascii="Times New Roman" w:hAnsi="Times New Roman" w:cs="Times New Roman"/>
          <w:sz w:val="28"/>
          <w:szCs w:val="28"/>
        </w:rPr>
        <w:footnoteReference w:id="2"/>
      </w:r>
      <w:r w:rsidR="003A7F24" w:rsidRPr="00F2290C">
        <w:rPr>
          <w:rFonts w:ascii="Times New Roman" w:hAnsi="Times New Roman" w:cs="Times New Roman"/>
          <w:sz w:val="28"/>
          <w:szCs w:val="28"/>
        </w:rPr>
        <w:t>. That case was concerned with whether judg</w:t>
      </w:r>
      <w:r w:rsidR="009D5AA6">
        <w:rPr>
          <w:rFonts w:ascii="Times New Roman" w:hAnsi="Times New Roman" w:cs="Times New Roman"/>
          <w:sz w:val="28"/>
          <w:szCs w:val="28"/>
        </w:rPr>
        <w:t>ment having been given for the c</w:t>
      </w:r>
      <w:r w:rsidR="003A7F24" w:rsidRPr="00F2290C">
        <w:rPr>
          <w:rFonts w:ascii="Times New Roman" w:hAnsi="Times New Roman" w:cs="Times New Roman"/>
          <w:sz w:val="28"/>
          <w:szCs w:val="28"/>
        </w:rPr>
        <w:t xml:space="preserve">laimant for the sum of £217 in respect of compensation for an injury arising from the </w:t>
      </w:r>
      <w:r w:rsidR="009D5AA6">
        <w:rPr>
          <w:rFonts w:ascii="Times New Roman" w:hAnsi="Times New Roman" w:cs="Times New Roman"/>
          <w:sz w:val="28"/>
          <w:szCs w:val="28"/>
        </w:rPr>
        <w:t>d</w:t>
      </w:r>
      <w:r w:rsidR="003A7F24" w:rsidRPr="00F2290C">
        <w:rPr>
          <w:rFonts w:ascii="Times New Roman" w:hAnsi="Times New Roman" w:cs="Times New Roman"/>
          <w:sz w:val="28"/>
          <w:szCs w:val="28"/>
        </w:rPr>
        <w:t>efendant’s negligence, the proceeds of a policy of accident insurance a</w:t>
      </w:r>
      <w:r w:rsidR="009D5AA6">
        <w:rPr>
          <w:rFonts w:ascii="Times New Roman" w:hAnsi="Times New Roman" w:cs="Times New Roman"/>
          <w:sz w:val="28"/>
          <w:szCs w:val="28"/>
        </w:rPr>
        <w:t>mounting to £31 which the c</w:t>
      </w:r>
      <w:r w:rsidR="003A7F24" w:rsidRPr="00F2290C">
        <w:rPr>
          <w:rFonts w:ascii="Times New Roman" w:hAnsi="Times New Roman" w:cs="Times New Roman"/>
          <w:sz w:val="28"/>
          <w:szCs w:val="28"/>
        </w:rPr>
        <w:t xml:space="preserve">laimant had prudently effected, should be offset or </w:t>
      </w:r>
      <w:r w:rsidR="003A7F24" w:rsidRPr="00F2290C">
        <w:rPr>
          <w:rFonts w:ascii="Times New Roman" w:hAnsi="Times New Roman" w:cs="Times New Roman"/>
          <w:sz w:val="28"/>
          <w:szCs w:val="28"/>
        </w:rPr>
        <w:lastRenderedPageBreak/>
        <w:t xml:space="preserve">deducted from the judgment sum. The </w:t>
      </w:r>
      <w:r w:rsidR="00B32FCC" w:rsidRPr="00F2290C">
        <w:rPr>
          <w:rFonts w:ascii="Times New Roman" w:hAnsi="Times New Roman" w:cs="Times New Roman"/>
          <w:sz w:val="28"/>
          <w:szCs w:val="28"/>
        </w:rPr>
        <w:t xml:space="preserve">court rejected firmly the notion that it could be so deducted, </w:t>
      </w:r>
      <w:proofErr w:type="spellStart"/>
      <w:r w:rsidR="00B32FCC" w:rsidRPr="00F2290C">
        <w:rPr>
          <w:rFonts w:ascii="Times New Roman" w:hAnsi="Times New Roman" w:cs="Times New Roman"/>
          <w:sz w:val="28"/>
          <w:szCs w:val="28"/>
        </w:rPr>
        <w:t>Bramwell</w:t>
      </w:r>
      <w:proofErr w:type="spellEnd"/>
      <w:r w:rsidR="00B32FCC" w:rsidRPr="00F2290C">
        <w:rPr>
          <w:rFonts w:ascii="Times New Roman" w:hAnsi="Times New Roman" w:cs="Times New Roman"/>
          <w:sz w:val="28"/>
          <w:szCs w:val="28"/>
        </w:rPr>
        <w:t xml:space="preserve"> B stating:</w:t>
      </w:r>
    </w:p>
    <w:p w:rsidR="00B32FCC" w:rsidRPr="00F2290C" w:rsidRDefault="00B32FCC" w:rsidP="00D74270">
      <w:pPr>
        <w:spacing w:line="240" w:lineRule="auto"/>
        <w:ind w:left="720"/>
        <w:rPr>
          <w:rFonts w:ascii="Times New Roman" w:hAnsi="Times New Roman" w:cs="Times New Roman"/>
          <w:i/>
          <w:sz w:val="28"/>
          <w:szCs w:val="28"/>
        </w:rPr>
      </w:pPr>
      <w:r w:rsidRPr="00F2290C">
        <w:rPr>
          <w:rFonts w:ascii="Times New Roman" w:hAnsi="Times New Roman" w:cs="Times New Roman"/>
          <w:i/>
          <w:sz w:val="28"/>
          <w:szCs w:val="28"/>
        </w:rPr>
        <w:t xml:space="preserve">In </w:t>
      </w:r>
      <w:proofErr w:type="spellStart"/>
      <w:r w:rsidRPr="00F2290C">
        <w:rPr>
          <w:rFonts w:ascii="Times New Roman" w:hAnsi="Times New Roman" w:cs="Times New Roman"/>
          <w:i/>
          <w:sz w:val="28"/>
          <w:szCs w:val="28"/>
        </w:rPr>
        <w:t>Dalby.v.India</w:t>
      </w:r>
      <w:proofErr w:type="spellEnd"/>
      <w:r w:rsidRPr="00F2290C">
        <w:rPr>
          <w:rFonts w:ascii="Times New Roman" w:hAnsi="Times New Roman" w:cs="Times New Roman"/>
          <w:i/>
          <w:sz w:val="28"/>
          <w:szCs w:val="28"/>
        </w:rPr>
        <w:t xml:space="preserve"> and London Life Assurance Company it was decided that one who pays premiums for the purpose of insuring himself, pays on the footing that his right to be compensated when the event insured against happens is an equivalent for the premiums he has paid; it is a quid pro quo, larger if he gets it, on the chance that he will never get it at all. That decision is an authority bearing on the present case, for the principle laid down in it applies, and shews that the plaintiff is entitled to retain the benefit which he has paid for in addition to the damages which he recovers on account of the defendant’s negligence.</w:t>
      </w:r>
    </w:p>
    <w:p w:rsidR="00C47F48" w:rsidRPr="00F2290C" w:rsidRDefault="003A7F24" w:rsidP="003A7F24">
      <w:pPr>
        <w:spacing w:line="480" w:lineRule="auto"/>
        <w:rPr>
          <w:rFonts w:ascii="Times New Roman" w:hAnsi="Times New Roman" w:cs="Times New Roman"/>
          <w:sz w:val="28"/>
          <w:szCs w:val="28"/>
        </w:rPr>
      </w:pPr>
      <w:r w:rsidRPr="00F2290C">
        <w:rPr>
          <w:rFonts w:ascii="Times New Roman" w:hAnsi="Times New Roman" w:cs="Times New Roman"/>
          <w:sz w:val="28"/>
          <w:szCs w:val="28"/>
        </w:rPr>
        <w:t xml:space="preserve"> </w:t>
      </w:r>
      <w:proofErr w:type="spellStart"/>
      <w:r w:rsidR="00B32FCC" w:rsidRPr="00F2290C">
        <w:rPr>
          <w:rFonts w:ascii="Times New Roman" w:hAnsi="Times New Roman" w:cs="Times New Roman"/>
          <w:sz w:val="28"/>
          <w:szCs w:val="28"/>
        </w:rPr>
        <w:t>Pigott</w:t>
      </w:r>
      <w:proofErr w:type="spellEnd"/>
      <w:r w:rsidR="00B32FCC" w:rsidRPr="00F2290C">
        <w:rPr>
          <w:rFonts w:ascii="Times New Roman" w:hAnsi="Times New Roman" w:cs="Times New Roman"/>
          <w:sz w:val="28"/>
          <w:szCs w:val="28"/>
        </w:rPr>
        <w:t xml:space="preserve"> B stated:</w:t>
      </w:r>
    </w:p>
    <w:p w:rsidR="00B32FCC" w:rsidRPr="00F2290C" w:rsidRDefault="00B32FCC" w:rsidP="00D74270">
      <w:pPr>
        <w:spacing w:line="240" w:lineRule="auto"/>
        <w:ind w:left="720"/>
        <w:rPr>
          <w:rFonts w:ascii="Times New Roman" w:hAnsi="Times New Roman" w:cs="Times New Roman"/>
          <w:i/>
          <w:sz w:val="28"/>
          <w:szCs w:val="28"/>
        </w:rPr>
      </w:pPr>
      <w:r w:rsidRPr="00F2290C">
        <w:rPr>
          <w:rFonts w:ascii="Times New Roman" w:hAnsi="Times New Roman" w:cs="Times New Roman"/>
          <w:i/>
          <w:sz w:val="28"/>
          <w:szCs w:val="28"/>
        </w:rPr>
        <w:t>The plaintiff is entitled to recover the damages caused to him by the negligence of the defendants and there is no reason or justice in setting off what the plaintiff has entitled himself to under a contract with third persons, by which he has bargained for the payment of a sum of money in the event of an accident happening to him. He does not receive that sum of money because of the accident, but because he has made a contract providing for the contingency; an accident must occur to entitle him to it, but it is not the accident, but his contract, which is the cause of his receiving it.</w:t>
      </w:r>
    </w:p>
    <w:p w:rsidR="00A85300" w:rsidRDefault="00A85300" w:rsidP="003A7F24">
      <w:pPr>
        <w:spacing w:line="480" w:lineRule="auto"/>
        <w:rPr>
          <w:rFonts w:ascii="Times New Roman" w:hAnsi="Times New Roman" w:cs="Times New Roman"/>
          <w:sz w:val="28"/>
          <w:szCs w:val="28"/>
        </w:rPr>
      </w:pPr>
    </w:p>
    <w:p w:rsidR="00680C56"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t>7</w:t>
      </w:r>
      <w:r w:rsidR="00680C56" w:rsidRPr="00F2290C">
        <w:rPr>
          <w:rFonts w:ascii="Times New Roman" w:hAnsi="Times New Roman" w:cs="Times New Roman"/>
          <w:sz w:val="28"/>
          <w:szCs w:val="28"/>
        </w:rPr>
        <w:t>.</w:t>
      </w:r>
      <w:r w:rsidR="00680C56" w:rsidRPr="00F2290C">
        <w:rPr>
          <w:rFonts w:ascii="Times New Roman" w:hAnsi="Times New Roman" w:cs="Times New Roman"/>
          <w:sz w:val="28"/>
          <w:szCs w:val="28"/>
        </w:rPr>
        <w:tab/>
      </w:r>
      <w:r w:rsidR="00B32FCC" w:rsidRPr="00F2290C">
        <w:rPr>
          <w:rFonts w:ascii="Times New Roman" w:hAnsi="Times New Roman" w:cs="Times New Roman"/>
          <w:sz w:val="28"/>
          <w:szCs w:val="28"/>
        </w:rPr>
        <w:t>The judgments are masterpieces in brevity, but a number of important principles were either established or restated in this case. The first is that the real mischief that the court was concerned to prevent, was the noti</w:t>
      </w:r>
      <w:r w:rsidR="009D5AA6">
        <w:rPr>
          <w:rFonts w:ascii="Times New Roman" w:hAnsi="Times New Roman" w:cs="Times New Roman"/>
          <w:sz w:val="28"/>
          <w:szCs w:val="28"/>
        </w:rPr>
        <w:t>on that the damages due to the c</w:t>
      </w:r>
      <w:r w:rsidR="00B32FCC" w:rsidRPr="00F2290C">
        <w:rPr>
          <w:rFonts w:ascii="Times New Roman" w:hAnsi="Times New Roman" w:cs="Times New Roman"/>
          <w:sz w:val="28"/>
          <w:szCs w:val="28"/>
        </w:rPr>
        <w:t xml:space="preserve">laimant could be reduced, to the net benefit of the </w:t>
      </w:r>
      <w:proofErr w:type="spellStart"/>
      <w:r w:rsidR="00B32FCC" w:rsidRPr="00F2290C">
        <w:rPr>
          <w:rFonts w:ascii="Times New Roman" w:hAnsi="Times New Roman" w:cs="Times New Roman"/>
          <w:sz w:val="28"/>
          <w:szCs w:val="28"/>
        </w:rPr>
        <w:t>tortfeasor</w:t>
      </w:r>
      <w:proofErr w:type="spellEnd"/>
      <w:r w:rsidR="00B32FCC" w:rsidRPr="00F2290C">
        <w:rPr>
          <w:rFonts w:ascii="Times New Roman" w:hAnsi="Times New Roman" w:cs="Times New Roman"/>
          <w:sz w:val="28"/>
          <w:szCs w:val="28"/>
        </w:rPr>
        <w:t xml:space="preserve">. </w:t>
      </w:r>
    </w:p>
    <w:p w:rsidR="00A85300" w:rsidRDefault="00A85300" w:rsidP="003A7F24">
      <w:pPr>
        <w:spacing w:line="480" w:lineRule="auto"/>
        <w:rPr>
          <w:rFonts w:ascii="Times New Roman" w:hAnsi="Times New Roman" w:cs="Times New Roman"/>
          <w:sz w:val="28"/>
          <w:szCs w:val="28"/>
        </w:rPr>
      </w:pPr>
    </w:p>
    <w:p w:rsidR="00680C56"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8</w:t>
      </w:r>
      <w:r w:rsidR="00680C56" w:rsidRPr="00F2290C">
        <w:rPr>
          <w:rFonts w:ascii="Times New Roman" w:hAnsi="Times New Roman" w:cs="Times New Roman"/>
          <w:sz w:val="28"/>
          <w:szCs w:val="28"/>
        </w:rPr>
        <w:t>.</w:t>
      </w:r>
      <w:r w:rsidR="00680C56" w:rsidRPr="00F2290C">
        <w:rPr>
          <w:rFonts w:ascii="Times New Roman" w:hAnsi="Times New Roman" w:cs="Times New Roman"/>
          <w:sz w:val="28"/>
          <w:szCs w:val="28"/>
        </w:rPr>
        <w:tab/>
      </w:r>
      <w:r w:rsidR="00B32FCC" w:rsidRPr="00F2290C">
        <w:rPr>
          <w:rFonts w:ascii="Times New Roman" w:hAnsi="Times New Roman" w:cs="Times New Roman"/>
          <w:sz w:val="28"/>
          <w:szCs w:val="28"/>
        </w:rPr>
        <w:t xml:space="preserve">The second is to note, that the payment of the insurance benefits in this case, an accident policy, did not give rise to a right of subrogation on the part of the insurance company to recoup its payment to its assured. </w:t>
      </w:r>
    </w:p>
    <w:p w:rsidR="00A85300" w:rsidRDefault="00A85300" w:rsidP="003A7F24">
      <w:pPr>
        <w:spacing w:line="480" w:lineRule="auto"/>
        <w:rPr>
          <w:rFonts w:ascii="Times New Roman" w:hAnsi="Times New Roman" w:cs="Times New Roman"/>
          <w:sz w:val="28"/>
          <w:szCs w:val="28"/>
        </w:rPr>
      </w:pPr>
    </w:p>
    <w:p w:rsidR="00680C56"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t>9</w:t>
      </w:r>
      <w:r w:rsidR="00680C56" w:rsidRPr="00F2290C">
        <w:rPr>
          <w:rFonts w:ascii="Times New Roman" w:hAnsi="Times New Roman" w:cs="Times New Roman"/>
          <w:sz w:val="28"/>
          <w:szCs w:val="28"/>
        </w:rPr>
        <w:t>.</w:t>
      </w:r>
      <w:r w:rsidR="00680C56" w:rsidRPr="00F2290C">
        <w:rPr>
          <w:rFonts w:ascii="Times New Roman" w:hAnsi="Times New Roman" w:cs="Times New Roman"/>
          <w:sz w:val="28"/>
          <w:szCs w:val="28"/>
        </w:rPr>
        <w:tab/>
      </w:r>
      <w:r w:rsidR="00B32FCC" w:rsidRPr="00F2290C">
        <w:rPr>
          <w:rFonts w:ascii="Times New Roman" w:hAnsi="Times New Roman" w:cs="Times New Roman"/>
          <w:sz w:val="28"/>
          <w:szCs w:val="28"/>
        </w:rPr>
        <w:t xml:space="preserve">The third is to note that the justification for the </w:t>
      </w:r>
      <w:r w:rsidR="00680C56" w:rsidRPr="00F2290C">
        <w:rPr>
          <w:rFonts w:ascii="Times New Roman" w:hAnsi="Times New Roman" w:cs="Times New Roman"/>
          <w:sz w:val="28"/>
          <w:szCs w:val="28"/>
        </w:rPr>
        <w:t xml:space="preserve">decision was grounded in either remoteness, causation or pure public policy, that a </w:t>
      </w:r>
      <w:proofErr w:type="spellStart"/>
      <w:r w:rsidR="00680C56" w:rsidRPr="00F2290C">
        <w:rPr>
          <w:rFonts w:ascii="Times New Roman" w:hAnsi="Times New Roman" w:cs="Times New Roman"/>
          <w:sz w:val="28"/>
          <w:szCs w:val="28"/>
        </w:rPr>
        <w:t>tortfeasor</w:t>
      </w:r>
      <w:proofErr w:type="spellEnd"/>
      <w:r w:rsidR="00680C56" w:rsidRPr="00F2290C">
        <w:rPr>
          <w:rFonts w:ascii="Times New Roman" w:hAnsi="Times New Roman" w:cs="Times New Roman"/>
          <w:sz w:val="28"/>
          <w:szCs w:val="28"/>
        </w:rPr>
        <w:t>, should not take ad</w:t>
      </w:r>
      <w:r w:rsidR="009D5AA6">
        <w:rPr>
          <w:rFonts w:ascii="Times New Roman" w:hAnsi="Times New Roman" w:cs="Times New Roman"/>
          <w:sz w:val="28"/>
          <w:szCs w:val="28"/>
        </w:rPr>
        <w:t>vantage of the prudence of the c</w:t>
      </w:r>
      <w:r w:rsidR="00680C56" w:rsidRPr="00F2290C">
        <w:rPr>
          <w:rFonts w:ascii="Times New Roman" w:hAnsi="Times New Roman" w:cs="Times New Roman"/>
          <w:sz w:val="28"/>
          <w:szCs w:val="28"/>
        </w:rPr>
        <w:t>laimant in insuring against a particular loss to re</w:t>
      </w:r>
      <w:r w:rsidR="009D5AA6">
        <w:rPr>
          <w:rFonts w:ascii="Times New Roman" w:hAnsi="Times New Roman" w:cs="Times New Roman"/>
          <w:sz w:val="28"/>
          <w:szCs w:val="28"/>
        </w:rPr>
        <w:t>duce his own liability, as the c</w:t>
      </w:r>
      <w:r w:rsidR="00680C56" w:rsidRPr="00F2290C">
        <w:rPr>
          <w:rFonts w:ascii="Times New Roman" w:hAnsi="Times New Roman" w:cs="Times New Roman"/>
          <w:sz w:val="28"/>
          <w:szCs w:val="28"/>
        </w:rPr>
        <w:t>laimant’s actions were too remote, or the benefits were not caused by the accident</w:t>
      </w:r>
      <w:r w:rsidR="009D5AA6">
        <w:rPr>
          <w:rFonts w:ascii="Times New Roman" w:hAnsi="Times New Roman" w:cs="Times New Roman"/>
          <w:sz w:val="28"/>
          <w:szCs w:val="28"/>
        </w:rPr>
        <w:t>, or the arrangements the c</w:t>
      </w:r>
      <w:r w:rsidR="00680C56" w:rsidRPr="00F2290C">
        <w:rPr>
          <w:rFonts w:ascii="Times New Roman" w:hAnsi="Times New Roman" w:cs="Times New Roman"/>
          <w:sz w:val="28"/>
          <w:szCs w:val="28"/>
        </w:rPr>
        <w:t xml:space="preserve">laimant made prior to the accident for his own benefit, were none </w:t>
      </w:r>
      <w:r w:rsidR="009D5AA6">
        <w:rPr>
          <w:rFonts w:ascii="Times New Roman" w:hAnsi="Times New Roman" w:cs="Times New Roman"/>
          <w:sz w:val="28"/>
          <w:szCs w:val="28"/>
        </w:rPr>
        <w:t xml:space="preserve">of the </w:t>
      </w:r>
      <w:proofErr w:type="spellStart"/>
      <w:r w:rsidR="009D5AA6">
        <w:rPr>
          <w:rFonts w:ascii="Times New Roman" w:hAnsi="Times New Roman" w:cs="Times New Roman"/>
          <w:sz w:val="28"/>
          <w:szCs w:val="28"/>
        </w:rPr>
        <w:t>tortfeasor’s</w:t>
      </w:r>
      <w:proofErr w:type="spellEnd"/>
      <w:r w:rsidR="009D5AA6">
        <w:rPr>
          <w:rFonts w:ascii="Times New Roman" w:hAnsi="Times New Roman" w:cs="Times New Roman"/>
          <w:sz w:val="28"/>
          <w:szCs w:val="28"/>
        </w:rPr>
        <w:t xml:space="preserve"> business: the Latin tag of</w:t>
      </w:r>
      <w:r w:rsidR="00680C56" w:rsidRPr="00F2290C">
        <w:rPr>
          <w:rFonts w:ascii="Times New Roman" w:hAnsi="Times New Roman" w:cs="Times New Roman"/>
          <w:sz w:val="28"/>
          <w:szCs w:val="28"/>
        </w:rPr>
        <w:t xml:space="preserve">, res inter </w:t>
      </w:r>
      <w:proofErr w:type="spellStart"/>
      <w:r w:rsidR="00680C56" w:rsidRPr="00F2290C">
        <w:rPr>
          <w:rFonts w:ascii="Times New Roman" w:hAnsi="Times New Roman" w:cs="Times New Roman"/>
          <w:sz w:val="28"/>
          <w:szCs w:val="28"/>
        </w:rPr>
        <w:t>alios</w:t>
      </w:r>
      <w:proofErr w:type="spellEnd"/>
      <w:r w:rsidR="00680C56" w:rsidRPr="00F2290C">
        <w:rPr>
          <w:rFonts w:ascii="Times New Roman" w:hAnsi="Times New Roman" w:cs="Times New Roman"/>
          <w:sz w:val="28"/>
          <w:szCs w:val="28"/>
        </w:rPr>
        <w:t xml:space="preserve"> </w:t>
      </w:r>
      <w:proofErr w:type="spellStart"/>
      <w:r w:rsidR="00680C56" w:rsidRPr="00F2290C">
        <w:rPr>
          <w:rFonts w:ascii="Times New Roman" w:hAnsi="Times New Roman" w:cs="Times New Roman"/>
          <w:sz w:val="28"/>
          <w:szCs w:val="28"/>
        </w:rPr>
        <w:t>acta</w:t>
      </w:r>
      <w:proofErr w:type="spellEnd"/>
      <w:r w:rsidR="00680C56" w:rsidRPr="00F2290C">
        <w:rPr>
          <w:rFonts w:ascii="Times New Roman" w:hAnsi="Times New Roman" w:cs="Times New Roman"/>
          <w:sz w:val="28"/>
          <w:szCs w:val="28"/>
        </w:rPr>
        <w:t>.</w:t>
      </w:r>
    </w:p>
    <w:p w:rsidR="00A85300" w:rsidRDefault="00A85300" w:rsidP="003A7F24">
      <w:pPr>
        <w:spacing w:line="480" w:lineRule="auto"/>
        <w:rPr>
          <w:rFonts w:ascii="Times New Roman" w:hAnsi="Times New Roman" w:cs="Times New Roman"/>
          <w:sz w:val="28"/>
          <w:szCs w:val="28"/>
        </w:rPr>
      </w:pPr>
    </w:p>
    <w:p w:rsidR="00680C56"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t>10</w:t>
      </w:r>
      <w:r w:rsidR="00680C56" w:rsidRPr="00F2290C">
        <w:rPr>
          <w:rFonts w:ascii="Times New Roman" w:hAnsi="Times New Roman" w:cs="Times New Roman"/>
          <w:sz w:val="28"/>
          <w:szCs w:val="28"/>
        </w:rPr>
        <w:t>.</w:t>
      </w:r>
      <w:r w:rsidR="00680C56" w:rsidRPr="00F2290C">
        <w:rPr>
          <w:rFonts w:ascii="Times New Roman" w:hAnsi="Times New Roman" w:cs="Times New Roman"/>
          <w:sz w:val="28"/>
          <w:szCs w:val="28"/>
        </w:rPr>
        <w:tab/>
        <w:t>Over the years the doctrine became firmly established, throughout the common-law jurisdictions, including the United States of America, and was given</w:t>
      </w:r>
      <w:r w:rsidR="009D5AA6">
        <w:rPr>
          <w:rFonts w:ascii="Times New Roman" w:hAnsi="Times New Roman" w:cs="Times New Roman"/>
          <w:sz w:val="28"/>
          <w:szCs w:val="28"/>
        </w:rPr>
        <w:t xml:space="preserve"> there,</w:t>
      </w:r>
      <w:r w:rsidR="00680C56" w:rsidRPr="00F2290C">
        <w:rPr>
          <w:rFonts w:ascii="Times New Roman" w:hAnsi="Times New Roman" w:cs="Times New Roman"/>
          <w:sz w:val="28"/>
          <w:szCs w:val="28"/>
        </w:rPr>
        <w:t xml:space="preserve"> the name of the collateral source rule. It functioned both as a substantive rule of law, precluding insurance benefits from being deducted from an injured party’s damages and a rule of evidence, precluding evidence of such benefits being put before the courts.</w:t>
      </w:r>
    </w:p>
    <w:p w:rsidR="00A85300" w:rsidRDefault="00A85300" w:rsidP="003A7F24">
      <w:pPr>
        <w:spacing w:line="480" w:lineRule="auto"/>
        <w:rPr>
          <w:rFonts w:ascii="Times New Roman" w:hAnsi="Times New Roman" w:cs="Times New Roman"/>
          <w:sz w:val="28"/>
          <w:szCs w:val="28"/>
        </w:rPr>
      </w:pPr>
    </w:p>
    <w:p w:rsidR="00680C56"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11.</w:t>
      </w:r>
      <w:r w:rsidR="00680C56" w:rsidRPr="00F2290C">
        <w:rPr>
          <w:rFonts w:ascii="Times New Roman" w:hAnsi="Times New Roman" w:cs="Times New Roman"/>
          <w:sz w:val="28"/>
          <w:szCs w:val="28"/>
        </w:rPr>
        <w:tab/>
        <w:t xml:space="preserve">By 1950, the position in England and Wales could be formulated by the Court of Appeal in these terms in the case of </w:t>
      </w:r>
      <w:proofErr w:type="spellStart"/>
      <w:r w:rsidR="00680C56" w:rsidRPr="0049063F">
        <w:rPr>
          <w:rFonts w:ascii="Times New Roman" w:hAnsi="Times New Roman" w:cs="Times New Roman"/>
          <w:b/>
          <w:sz w:val="28"/>
          <w:szCs w:val="28"/>
          <w:u w:val="single"/>
        </w:rPr>
        <w:t>Shearman.v.Folland</w:t>
      </w:r>
      <w:proofErr w:type="spellEnd"/>
      <w:r w:rsidR="005C1878">
        <w:rPr>
          <w:rStyle w:val="FootnoteReference"/>
          <w:rFonts w:ascii="Times New Roman" w:hAnsi="Times New Roman" w:cs="Times New Roman"/>
          <w:b/>
          <w:sz w:val="28"/>
          <w:szCs w:val="28"/>
          <w:u w:val="single"/>
        </w:rPr>
        <w:footnoteReference w:id="3"/>
      </w:r>
      <w:r w:rsidR="00680C56" w:rsidRPr="00F2290C">
        <w:rPr>
          <w:rFonts w:ascii="Times New Roman" w:hAnsi="Times New Roman" w:cs="Times New Roman"/>
          <w:sz w:val="28"/>
          <w:szCs w:val="28"/>
        </w:rPr>
        <w:t>:</w:t>
      </w:r>
      <w:r w:rsidR="00680C56" w:rsidRPr="00F2290C">
        <w:rPr>
          <w:rFonts w:ascii="Times New Roman" w:hAnsi="Times New Roman" w:cs="Times New Roman"/>
          <w:sz w:val="28"/>
          <w:szCs w:val="28"/>
        </w:rPr>
        <w:tab/>
      </w:r>
    </w:p>
    <w:p w:rsidR="00680C56" w:rsidRPr="00F2290C" w:rsidRDefault="00680C56" w:rsidP="00D74270">
      <w:pPr>
        <w:spacing w:line="240" w:lineRule="auto"/>
        <w:ind w:left="720"/>
        <w:rPr>
          <w:rFonts w:ascii="Times New Roman" w:hAnsi="Times New Roman" w:cs="Times New Roman"/>
          <w:i/>
          <w:sz w:val="28"/>
          <w:szCs w:val="28"/>
        </w:rPr>
      </w:pPr>
      <w:r w:rsidRPr="00F2290C">
        <w:rPr>
          <w:rFonts w:ascii="Times New Roman" w:hAnsi="Times New Roman" w:cs="Times New Roman"/>
          <w:i/>
          <w:sz w:val="28"/>
          <w:szCs w:val="28"/>
        </w:rPr>
        <w:t xml:space="preserve">What </w:t>
      </w:r>
      <w:proofErr w:type="gramStart"/>
      <w:r w:rsidRPr="00F2290C">
        <w:rPr>
          <w:rFonts w:ascii="Times New Roman" w:hAnsi="Times New Roman" w:cs="Times New Roman"/>
          <w:i/>
          <w:sz w:val="28"/>
          <w:szCs w:val="28"/>
        </w:rPr>
        <w:t>in  a</w:t>
      </w:r>
      <w:proofErr w:type="gramEnd"/>
      <w:r w:rsidRPr="00F2290C">
        <w:rPr>
          <w:rFonts w:ascii="Times New Roman" w:hAnsi="Times New Roman" w:cs="Times New Roman"/>
          <w:i/>
          <w:sz w:val="28"/>
          <w:szCs w:val="28"/>
        </w:rPr>
        <w:t xml:space="preserve"> given case is, and, what is not collateral ? Insurance affords the classic example of something which is treated in law as collateral. Where X is insured by Y, against such injury which comes to be wrongly inflicted on him by Z, Z cannot set up in mitigation or extinction of his own liability</w:t>
      </w:r>
      <w:r w:rsidR="003063A0" w:rsidRPr="00F2290C">
        <w:rPr>
          <w:rFonts w:ascii="Times New Roman" w:hAnsi="Times New Roman" w:cs="Times New Roman"/>
          <w:i/>
          <w:sz w:val="28"/>
          <w:szCs w:val="28"/>
        </w:rPr>
        <w:t xml:space="preserve"> X’s right to be recouped by Y, or the fact that X has been recouped by Y.</w:t>
      </w:r>
      <w:r w:rsidR="00A85300">
        <w:rPr>
          <w:rFonts w:ascii="Times New Roman" w:hAnsi="Times New Roman" w:cs="Times New Roman"/>
          <w:i/>
          <w:sz w:val="28"/>
          <w:szCs w:val="28"/>
        </w:rPr>
        <w:t xml:space="preserve"> </w:t>
      </w:r>
      <w:proofErr w:type="spellStart"/>
      <w:r w:rsidR="00A85300">
        <w:rPr>
          <w:rFonts w:ascii="Times New Roman" w:hAnsi="Times New Roman" w:cs="Times New Roman"/>
          <w:i/>
          <w:sz w:val="28"/>
          <w:szCs w:val="28"/>
        </w:rPr>
        <w:t>Br</w:t>
      </w:r>
      <w:r w:rsidR="003063A0" w:rsidRPr="00F2290C">
        <w:rPr>
          <w:rFonts w:ascii="Times New Roman" w:hAnsi="Times New Roman" w:cs="Times New Roman"/>
          <w:i/>
          <w:sz w:val="28"/>
          <w:szCs w:val="28"/>
        </w:rPr>
        <w:t>adburn.v.GWR</w:t>
      </w:r>
      <w:proofErr w:type="spellEnd"/>
      <w:r w:rsidR="003063A0" w:rsidRPr="00F2290C">
        <w:rPr>
          <w:rFonts w:ascii="Times New Roman" w:hAnsi="Times New Roman" w:cs="Times New Roman"/>
          <w:i/>
          <w:sz w:val="28"/>
          <w:szCs w:val="28"/>
        </w:rPr>
        <w:t xml:space="preserve">, </w:t>
      </w:r>
      <w:proofErr w:type="spellStart"/>
      <w:r w:rsidR="003063A0" w:rsidRPr="00F2290C">
        <w:rPr>
          <w:rFonts w:ascii="Times New Roman" w:hAnsi="Times New Roman" w:cs="Times New Roman"/>
          <w:i/>
          <w:sz w:val="28"/>
          <w:szCs w:val="28"/>
        </w:rPr>
        <w:t>Simpson.v.Thomson</w:t>
      </w:r>
      <w:proofErr w:type="spellEnd"/>
      <w:r w:rsidR="003063A0" w:rsidRPr="00F2290C">
        <w:rPr>
          <w:rFonts w:ascii="Times New Roman" w:hAnsi="Times New Roman" w:cs="Times New Roman"/>
          <w:i/>
          <w:sz w:val="28"/>
          <w:szCs w:val="28"/>
        </w:rPr>
        <w:t xml:space="preserve">. There are special reasons for this. If the wrongdoer were entitled to setoff what the plaintiff was entitled to recoup or had recouped under his policy, he would in effect be depriving the plaintiff of all benefit from the premiums paid by the latter and appropriating that benefit to </w:t>
      </w:r>
      <w:proofErr w:type="gramStart"/>
      <w:r w:rsidR="003063A0" w:rsidRPr="00F2290C">
        <w:rPr>
          <w:rFonts w:ascii="Times New Roman" w:hAnsi="Times New Roman" w:cs="Times New Roman"/>
          <w:i/>
          <w:sz w:val="28"/>
          <w:szCs w:val="28"/>
        </w:rPr>
        <w:t>himself</w:t>
      </w:r>
      <w:proofErr w:type="gramEnd"/>
      <w:r w:rsidR="003063A0" w:rsidRPr="00F2290C">
        <w:rPr>
          <w:rFonts w:ascii="Times New Roman" w:hAnsi="Times New Roman" w:cs="Times New Roman"/>
          <w:i/>
          <w:sz w:val="28"/>
          <w:szCs w:val="28"/>
        </w:rPr>
        <w:t>.</w:t>
      </w:r>
    </w:p>
    <w:p w:rsidR="00A85300" w:rsidRDefault="00A85300" w:rsidP="003A7F24">
      <w:pPr>
        <w:spacing w:line="480" w:lineRule="auto"/>
        <w:rPr>
          <w:rFonts w:ascii="Times New Roman" w:hAnsi="Times New Roman" w:cs="Times New Roman"/>
          <w:sz w:val="28"/>
          <w:szCs w:val="28"/>
        </w:rPr>
      </w:pPr>
    </w:p>
    <w:p w:rsidR="00680C56"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t>12</w:t>
      </w:r>
      <w:r w:rsidR="00680C56" w:rsidRPr="00F2290C">
        <w:rPr>
          <w:rFonts w:ascii="Times New Roman" w:hAnsi="Times New Roman" w:cs="Times New Roman"/>
          <w:sz w:val="28"/>
          <w:szCs w:val="28"/>
        </w:rPr>
        <w:t>.</w:t>
      </w:r>
      <w:r w:rsidR="00680C56" w:rsidRPr="00F2290C">
        <w:rPr>
          <w:rFonts w:ascii="Times New Roman" w:hAnsi="Times New Roman" w:cs="Times New Roman"/>
          <w:sz w:val="28"/>
          <w:szCs w:val="28"/>
        </w:rPr>
        <w:tab/>
        <w:t>Fast forward a hundred years</w:t>
      </w:r>
      <w:r w:rsidR="003063A0" w:rsidRPr="00F2290C">
        <w:rPr>
          <w:rFonts w:ascii="Times New Roman" w:hAnsi="Times New Roman" w:cs="Times New Roman"/>
          <w:sz w:val="28"/>
          <w:szCs w:val="28"/>
        </w:rPr>
        <w:t xml:space="preserve"> from </w:t>
      </w:r>
      <w:proofErr w:type="spellStart"/>
      <w:r w:rsidR="003063A0" w:rsidRPr="0049063F">
        <w:rPr>
          <w:rFonts w:ascii="Times New Roman" w:hAnsi="Times New Roman" w:cs="Times New Roman"/>
          <w:b/>
          <w:sz w:val="28"/>
          <w:szCs w:val="28"/>
          <w:u w:val="single"/>
        </w:rPr>
        <w:t>Bradburn</w:t>
      </w:r>
      <w:proofErr w:type="spellEnd"/>
      <w:r w:rsidR="00680C56" w:rsidRPr="00F2290C">
        <w:rPr>
          <w:rFonts w:ascii="Times New Roman" w:hAnsi="Times New Roman" w:cs="Times New Roman"/>
          <w:sz w:val="28"/>
          <w:szCs w:val="28"/>
        </w:rPr>
        <w:t xml:space="preserve">, and the landmark decision of </w:t>
      </w:r>
      <w:proofErr w:type="spellStart"/>
      <w:r w:rsidR="00680C56" w:rsidRPr="0049063F">
        <w:rPr>
          <w:rFonts w:ascii="Times New Roman" w:hAnsi="Times New Roman" w:cs="Times New Roman"/>
          <w:b/>
          <w:sz w:val="28"/>
          <w:szCs w:val="28"/>
          <w:u w:val="single"/>
        </w:rPr>
        <w:t>Parry.v.Cleaver</w:t>
      </w:r>
      <w:proofErr w:type="spellEnd"/>
      <w:r w:rsidR="00680C56" w:rsidRPr="00F2290C">
        <w:rPr>
          <w:rStyle w:val="FootnoteReference"/>
          <w:rFonts w:ascii="Times New Roman" w:hAnsi="Times New Roman" w:cs="Times New Roman"/>
          <w:sz w:val="28"/>
          <w:szCs w:val="28"/>
        </w:rPr>
        <w:footnoteReference w:id="4"/>
      </w:r>
      <w:r w:rsidR="00680C56" w:rsidRPr="00F2290C">
        <w:rPr>
          <w:rFonts w:ascii="Times New Roman" w:hAnsi="Times New Roman" w:cs="Times New Roman"/>
          <w:sz w:val="28"/>
          <w:szCs w:val="28"/>
        </w:rPr>
        <w:t xml:space="preserve"> is reached, which was grounded firm</w:t>
      </w:r>
      <w:r w:rsidR="003063A0" w:rsidRPr="00F2290C">
        <w:rPr>
          <w:rFonts w:ascii="Times New Roman" w:hAnsi="Times New Roman" w:cs="Times New Roman"/>
          <w:sz w:val="28"/>
          <w:szCs w:val="28"/>
        </w:rPr>
        <w:t xml:space="preserve">ly in the reasoning noted above. The facts of </w:t>
      </w:r>
      <w:proofErr w:type="spellStart"/>
      <w:r w:rsidR="003063A0" w:rsidRPr="0049063F">
        <w:rPr>
          <w:rFonts w:ascii="Times New Roman" w:hAnsi="Times New Roman" w:cs="Times New Roman"/>
          <w:b/>
          <w:sz w:val="28"/>
          <w:szCs w:val="28"/>
          <w:u w:val="single"/>
        </w:rPr>
        <w:t>Parry.v.Cleaver</w:t>
      </w:r>
      <w:proofErr w:type="spellEnd"/>
      <w:r w:rsidR="003063A0" w:rsidRPr="00F2290C">
        <w:rPr>
          <w:rFonts w:ascii="Times New Roman" w:hAnsi="Times New Roman" w:cs="Times New Roman"/>
          <w:sz w:val="28"/>
          <w:szCs w:val="28"/>
        </w:rPr>
        <w:t xml:space="preserve"> repay </w:t>
      </w:r>
      <w:r w:rsidR="009D5AA6">
        <w:rPr>
          <w:rFonts w:ascii="Times New Roman" w:hAnsi="Times New Roman" w:cs="Times New Roman"/>
          <w:sz w:val="28"/>
          <w:szCs w:val="28"/>
        </w:rPr>
        <w:t xml:space="preserve">very </w:t>
      </w:r>
      <w:r w:rsidR="003063A0" w:rsidRPr="00F2290C">
        <w:rPr>
          <w:rFonts w:ascii="Times New Roman" w:hAnsi="Times New Roman" w:cs="Times New Roman"/>
          <w:sz w:val="28"/>
          <w:szCs w:val="28"/>
        </w:rPr>
        <w:t>careful reading. A police constable was injured in a road traffic accident. He had made compulsory contributions to a police pension fund: he got a disablement pension as of right</w:t>
      </w:r>
      <w:r w:rsidR="00454BBF" w:rsidRPr="00F2290C">
        <w:rPr>
          <w:rFonts w:ascii="Times New Roman" w:hAnsi="Times New Roman" w:cs="Times New Roman"/>
          <w:sz w:val="28"/>
          <w:szCs w:val="28"/>
        </w:rPr>
        <w:t>, when invalided out of the force</w:t>
      </w:r>
      <w:r w:rsidR="003063A0" w:rsidRPr="00F2290C">
        <w:rPr>
          <w:rFonts w:ascii="Times New Roman" w:hAnsi="Times New Roman" w:cs="Times New Roman"/>
          <w:sz w:val="28"/>
          <w:szCs w:val="28"/>
        </w:rPr>
        <w:t>.</w:t>
      </w:r>
      <w:r w:rsidR="00454BBF" w:rsidRPr="00F2290C">
        <w:rPr>
          <w:rFonts w:ascii="Times New Roman" w:hAnsi="Times New Roman" w:cs="Times New Roman"/>
          <w:sz w:val="28"/>
          <w:szCs w:val="28"/>
        </w:rPr>
        <w:t xml:space="preserve"> Was the pension, to be taken into account when assessing his </w:t>
      </w:r>
      <w:proofErr w:type="gramStart"/>
      <w:r w:rsidR="00454BBF" w:rsidRPr="00F2290C">
        <w:rPr>
          <w:rFonts w:ascii="Times New Roman" w:hAnsi="Times New Roman" w:cs="Times New Roman"/>
          <w:sz w:val="28"/>
          <w:szCs w:val="28"/>
        </w:rPr>
        <w:t>damages ?</w:t>
      </w:r>
      <w:proofErr w:type="gramEnd"/>
      <w:r w:rsidR="00454BBF" w:rsidRPr="00F2290C">
        <w:rPr>
          <w:rFonts w:ascii="Times New Roman" w:hAnsi="Times New Roman" w:cs="Times New Roman"/>
          <w:sz w:val="28"/>
          <w:szCs w:val="28"/>
        </w:rPr>
        <w:t xml:space="preserve"> The House of Lords by a majority of 3 (Lords Reid, Wilberforce and Pearce)</w:t>
      </w:r>
      <w:r w:rsidR="0049063F">
        <w:rPr>
          <w:rFonts w:ascii="Times New Roman" w:hAnsi="Times New Roman" w:cs="Times New Roman"/>
          <w:sz w:val="28"/>
          <w:szCs w:val="28"/>
        </w:rPr>
        <w:t xml:space="preserve"> </w:t>
      </w:r>
      <w:r w:rsidR="00454BBF" w:rsidRPr="00F2290C">
        <w:rPr>
          <w:rFonts w:ascii="Times New Roman" w:hAnsi="Times New Roman" w:cs="Times New Roman"/>
          <w:sz w:val="28"/>
          <w:szCs w:val="28"/>
        </w:rPr>
        <w:t xml:space="preserve">to 2 (Lord Morris and Lord Pearson), held that the pension should be left out of account. </w:t>
      </w:r>
    </w:p>
    <w:p w:rsidR="00A85300" w:rsidRDefault="00A85300" w:rsidP="003A7F24">
      <w:pPr>
        <w:spacing w:line="480" w:lineRule="auto"/>
        <w:rPr>
          <w:rFonts w:ascii="Times New Roman" w:hAnsi="Times New Roman" w:cs="Times New Roman"/>
          <w:sz w:val="28"/>
          <w:szCs w:val="28"/>
        </w:rPr>
      </w:pPr>
    </w:p>
    <w:p w:rsidR="00454BBF" w:rsidRPr="00F2290C" w:rsidRDefault="00A85300" w:rsidP="003A7F24">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13.</w:t>
      </w:r>
      <w:r w:rsidR="00454BBF" w:rsidRPr="00F2290C">
        <w:rPr>
          <w:rFonts w:ascii="Times New Roman" w:hAnsi="Times New Roman" w:cs="Times New Roman"/>
          <w:sz w:val="28"/>
          <w:szCs w:val="28"/>
        </w:rPr>
        <w:tab/>
        <w:t>Lord Reid stated in his speech</w:t>
      </w:r>
      <w:r w:rsidR="00454BBF" w:rsidRPr="00F2290C">
        <w:rPr>
          <w:rStyle w:val="FootnoteReference"/>
          <w:rFonts w:ascii="Times New Roman" w:hAnsi="Times New Roman" w:cs="Times New Roman"/>
          <w:sz w:val="28"/>
          <w:szCs w:val="28"/>
        </w:rPr>
        <w:footnoteReference w:id="5"/>
      </w:r>
      <w:r w:rsidR="00454BBF" w:rsidRPr="00F2290C">
        <w:rPr>
          <w:rFonts w:ascii="Times New Roman" w:hAnsi="Times New Roman" w:cs="Times New Roman"/>
          <w:sz w:val="28"/>
          <w:szCs w:val="28"/>
        </w:rPr>
        <w:t>:</w:t>
      </w:r>
    </w:p>
    <w:p w:rsidR="00454BBF" w:rsidRPr="00F2290C" w:rsidRDefault="00454BBF" w:rsidP="00D74270">
      <w:pPr>
        <w:spacing w:line="240" w:lineRule="auto"/>
        <w:ind w:left="720"/>
        <w:rPr>
          <w:rFonts w:ascii="Times New Roman" w:hAnsi="Times New Roman" w:cs="Times New Roman"/>
          <w:i/>
          <w:sz w:val="28"/>
          <w:szCs w:val="28"/>
        </w:rPr>
      </w:pPr>
      <w:r w:rsidRPr="00F2290C">
        <w:rPr>
          <w:rFonts w:ascii="Times New Roman" w:hAnsi="Times New Roman" w:cs="Times New Roman"/>
          <w:i/>
          <w:sz w:val="28"/>
          <w:szCs w:val="28"/>
        </w:rPr>
        <w:t xml:space="preserve">As regards moneys coming to the plaintiff under a contract of insurance, I think that the real and substantial reason for disregarding them is that the plaintiff has bought them and that it would be unjust and unreasonable to hold that the money which he prudently spent on premiums and the benefit from it should </w:t>
      </w:r>
      <w:proofErr w:type="spellStart"/>
      <w:r w:rsidRPr="00F2290C">
        <w:rPr>
          <w:rFonts w:ascii="Times New Roman" w:hAnsi="Times New Roman" w:cs="Times New Roman"/>
          <w:i/>
          <w:sz w:val="28"/>
          <w:szCs w:val="28"/>
        </w:rPr>
        <w:t>enure</w:t>
      </w:r>
      <w:proofErr w:type="spellEnd"/>
      <w:r w:rsidRPr="00F2290C">
        <w:rPr>
          <w:rFonts w:ascii="Times New Roman" w:hAnsi="Times New Roman" w:cs="Times New Roman"/>
          <w:i/>
          <w:sz w:val="28"/>
          <w:szCs w:val="28"/>
        </w:rPr>
        <w:t xml:space="preserve"> to the benefit of the </w:t>
      </w:r>
      <w:proofErr w:type="spellStart"/>
      <w:r w:rsidRPr="00F2290C">
        <w:rPr>
          <w:rFonts w:ascii="Times New Roman" w:hAnsi="Times New Roman" w:cs="Times New Roman"/>
          <w:i/>
          <w:sz w:val="28"/>
          <w:szCs w:val="28"/>
        </w:rPr>
        <w:t>tortfeasor</w:t>
      </w:r>
      <w:proofErr w:type="spellEnd"/>
      <w:r w:rsidRPr="00F2290C">
        <w:rPr>
          <w:rFonts w:ascii="Times New Roman" w:hAnsi="Times New Roman" w:cs="Times New Roman"/>
          <w:i/>
          <w:sz w:val="28"/>
          <w:szCs w:val="28"/>
        </w:rPr>
        <w:t>. Here again I think that the explanation that this is too remote is artificial and unreal. Why should the plaintiff be left worse off tha</w:t>
      </w:r>
      <w:r w:rsidR="00276431">
        <w:rPr>
          <w:rFonts w:ascii="Times New Roman" w:hAnsi="Times New Roman" w:cs="Times New Roman"/>
          <w:i/>
          <w:sz w:val="28"/>
          <w:szCs w:val="28"/>
        </w:rPr>
        <w:t>n if he had never insured</w:t>
      </w:r>
      <w:r w:rsidRPr="00F2290C">
        <w:rPr>
          <w:rFonts w:ascii="Times New Roman" w:hAnsi="Times New Roman" w:cs="Times New Roman"/>
          <w:i/>
          <w:sz w:val="28"/>
          <w:szCs w:val="28"/>
        </w:rPr>
        <w:t>? In that case he would have got the benefit of the premium money: if he had not spent it he would have had it in his possession at the time of the accident grossed up at compound interest….</w:t>
      </w:r>
    </w:p>
    <w:p w:rsidR="00D74270" w:rsidRDefault="00D74270" w:rsidP="00454BBF">
      <w:pPr>
        <w:spacing w:line="480" w:lineRule="auto"/>
        <w:rPr>
          <w:rFonts w:ascii="Times New Roman" w:hAnsi="Times New Roman" w:cs="Times New Roman"/>
          <w:sz w:val="28"/>
          <w:szCs w:val="28"/>
        </w:rPr>
      </w:pPr>
    </w:p>
    <w:p w:rsidR="00454BBF" w:rsidRPr="00F2290C" w:rsidRDefault="008C436B" w:rsidP="00454BBF">
      <w:pPr>
        <w:spacing w:line="480" w:lineRule="auto"/>
        <w:rPr>
          <w:rFonts w:ascii="Times New Roman" w:hAnsi="Times New Roman" w:cs="Times New Roman"/>
          <w:sz w:val="28"/>
          <w:szCs w:val="28"/>
        </w:rPr>
      </w:pPr>
      <w:r w:rsidRPr="00F2290C">
        <w:rPr>
          <w:rFonts w:ascii="Times New Roman" w:hAnsi="Times New Roman" w:cs="Times New Roman"/>
          <w:sz w:val="28"/>
          <w:szCs w:val="28"/>
        </w:rPr>
        <w:t>Like concerns were expressed in the concu</w:t>
      </w:r>
      <w:r w:rsidR="00F57EDA" w:rsidRPr="00F2290C">
        <w:rPr>
          <w:rFonts w:ascii="Times New Roman" w:hAnsi="Times New Roman" w:cs="Times New Roman"/>
          <w:sz w:val="28"/>
          <w:szCs w:val="28"/>
        </w:rPr>
        <w:t>rring speeches of the majority: what is striking is that all the speeches are expressed in the context that accident insurance benefits, incapable of giving rise to a subrogated claim for recoupment, should not be deducted from the damages due to the claimant</w:t>
      </w:r>
      <w:r w:rsidR="00276431">
        <w:rPr>
          <w:rFonts w:ascii="Times New Roman" w:hAnsi="Times New Roman" w:cs="Times New Roman"/>
          <w:sz w:val="28"/>
          <w:szCs w:val="28"/>
        </w:rPr>
        <w:t xml:space="preserve"> to the net benefit of the </w:t>
      </w:r>
      <w:proofErr w:type="spellStart"/>
      <w:r w:rsidR="00276431">
        <w:rPr>
          <w:rFonts w:ascii="Times New Roman" w:hAnsi="Times New Roman" w:cs="Times New Roman"/>
          <w:sz w:val="28"/>
          <w:szCs w:val="28"/>
        </w:rPr>
        <w:t>tort</w:t>
      </w:r>
      <w:r w:rsidR="00F57EDA" w:rsidRPr="00F2290C">
        <w:rPr>
          <w:rFonts w:ascii="Times New Roman" w:hAnsi="Times New Roman" w:cs="Times New Roman"/>
          <w:sz w:val="28"/>
          <w:szCs w:val="28"/>
        </w:rPr>
        <w:t>feasor</w:t>
      </w:r>
      <w:proofErr w:type="spellEnd"/>
      <w:r w:rsidR="00F57EDA" w:rsidRPr="00F2290C">
        <w:rPr>
          <w:rFonts w:ascii="Times New Roman" w:hAnsi="Times New Roman" w:cs="Times New Roman"/>
          <w:sz w:val="28"/>
          <w:szCs w:val="28"/>
        </w:rPr>
        <w:t xml:space="preserve">. </w:t>
      </w:r>
    </w:p>
    <w:p w:rsidR="00A85300" w:rsidRDefault="00A85300" w:rsidP="00454BBF">
      <w:pPr>
        <w:spacing w:line="480" w:lineRule="auto"/>
        <w:rPr>
          <w:rFonts w:ascii="Times New Roman" w:hAnsi="Times New Roman" w:cs="Times New Roman"/>
          <w:sz w:val="28"/>
          <w:szCs w:val="28"/>
        </w:rPr>
      </w:pPr>
    </w:p>
    <w:p w:rsidR="00F57EDA" w:rsidRDefault="00A85300" w:rsidP="00454BBF">
      <w:pPr>
        <w:spacing w:line="480" w:lineRule="auto"/>
        <w:rPr>
          <w:rFonts w:ascii="Times New Roman" w:hAnsi="Times New Roman" w:cs="Times New Roman"/>
          <w:sz w:val="28"/>
          <w:szCs w:val="28"/>
        </w:rPr>
      </w:pPr>
      <w:r>
        <w:rPr>
          <w:rFonts w:ascii="Times New Roman" w:hAnsi="Times New Roman" w:cs="Times New Roman"/>
          <w:sz w:val="28"/>
          <w:szCs w:val="28"/>
        </w:rPr>
        <w:t>14.</w:t>
      </w:r>
      <w:r w:rsidR="00F57EDA" w:rsidRPr="00F2290C">
        <w:rPr>
          <w:rFonts w:ascii="Times New Roman" w:hAnsi="Times New Roman" w:cs="Times New Roman"/>
          <w:sz w:val="28"/>
          <w:szCs w:val="28"/>
        </w:rPr>
        <w:tab/>
        <w:t xml:space="preserve">It can be submitted that the case has nothing to say at all, about whether </w:t>
      </w:r>
      <w:r w:rsidR="009D5AA6">
        <w:rPr>
          <w:rFonts w:ascii="Times New Roman" w:hAnsi="Times New Roman" w:cs="Times New Roman"/>
          <w:sz w:val="28"/>
          <w:szCs w:val="28"/>
        </w:rPr>
        <w:t xml:space="preserve">a claimant can be reasonably expected by the doctrine of mitigation of loss to claim on a comprehensive insurance policy, </w:t>
      </w:r>
      <w:r w:rsidR="00F57EDA" w:rsidRPr="00F2290C">
        <w:rPr>
          <w:rFonts w:ascii="Times New Roman" w:hAnsi="Times New Roman" w:cs="Times New Roman"/>
          <w:sz w:val="28"/>
          <w:szCs w:val="28"/>
        </w:rPr>
        <w:t xml:space="preserve">where the quantum of any such claim will be pursued in a recovery action by the road traffic insurance company, utilising its subrogation rights. In such a scenario, the defendant </w:t>
      </w:r>
      <w:proofErr w:type="spellStart"/>
      <w:r w:rsidR="00F57EDA" w:rsidRPr="00F2290C">
        <w:rPr>
          <w:rFonts w:ascii="Times New Roman" w:hAnsi="Times New Roman" w:cs="Times New Roman"/>
          <w:sz w:val="28"/>
          <w:szCs w:val="28"/>
        </w:rPr>
        <w:t>tortfeasor</w:t>
      </w:r>
      <w:proofErr w:type="spellEnd"/>
      <w:r w:rsidR="00F57EDA" w:rsidRPr="00F2290C">
        <w:rPr>
          <w:rFonts w:ascii="Times New Roman" w:hAnsi="Times New Roman" w:cs="Times New Roman"/>
          <w:sz w:val="28"/>
          <w:szCs w:val="28"/>
        </w:rPr>
        <w:t xml:space="preserve"> will pay the full value of the damage to the car caused by the tort, but </w:t>
      </w:r>
      <w:r w:rsidR="00F57EDA" w:rsidRPr="00F2290C">
        <w:rPr>
          <w:rFonts w:ascii="Times New Roman" w:hAnsi="Times New Roman" w:cs="Times New Roman"/>
          <w:sz w:val="28"/>
          <w:szCs w:val="28"/>
        </w:rPr>
        <w:lastRenderedPageBreak/>
        <w:t xml:space="preserve">the claimant will have largely avoided the need for substantial credit hire charges and in so doing will have mitigated his loss. </w:t>
      </w:r>
    </w:p>
    <w:p w:rsidR="009D5AA6" w:rsidRPr="00F2290C" w:rsidRDefault="009D5AA6" w:rsidP="00454BBF">
      <w:pPr>
        <w:spacing w:line="480" w:lineRule="auto"/>
        <w:rPr>
          <w:rFonts w:ascii="Times New Roman" w:hAnsi="Times New Roman" w:cs="Times New Roman"/>
          <w:sz w:val="28"/>
          <w:szCs w:val="28"/>
        </w:rPr>
      </w:pPr>
    </w:p>
    <w:p w:rsidR="00F57EDA" w:rsidRPr="00F2290C" w:rsidRDefault="00A85300" w:rsidP="00A85300">
      <w:pPr>
        <w:spacing w:line="480" w:lineRule="auto"/>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F57EDA" w:rsidRPr="00F2290C">
        <w:rPr>
          <w:rFonts w:ascii="Times New Roman" w:hAnsi="Times New Roman" w:cs="Times New Roman"/>
          <w:sz w:val="28"/>
          <w:szCs w:val="28"/>
        </w:rPr>
        <w:t xml:space="preserve">Indeed if one considers the public policy justification said to preclude any such argument arising, the notion of deduction of </w:t>
      </w:r>
      <w:proofErr w:type="gramStart"/>
      <w:r w:rsidR="00F57EDA" w:rsidRPr="00F2290C">
        <w:rPr>
          <w:rFonts w:ascii="Times New Roman" w:hAnsi="Times New Roman" w:cs="Times New Roman"/>
          <w:sz w:val="28"/>
          <w:szCs w:val="28"/>
        </w:rPr>
        <w:t>benefits,</w:t>
      </w:r>
      <w:proofErr w:type="gramEnd"/>
      <w:r w:rsidR="00F57EDA" w:rsidRPr="00F2290C">
        <w:rPr>
          <w:rFonts w:ascii="Times New Roman" w:hAnsi="Times New Roman" w:cs="Times New Roman"/>
          <w:sz w:val="28"/>
          <w:szCs w:val="28"/>
        </w:rPr>
        <w:t xml:space="preserve"> simply does not arise.</w:t>
      </w:r>
    </w:p>
    <w:p w:rsidR="00D74270" w:rsidRDefault="00D74270" w:rsidP="00A85300">
      <w:pPr>
        <w:spacing w:line="480" w:lineRule="auto"/>
        <w:rPr>
          <w:rFonts w:ascii="Times New Roman" w:hAnsi="Times New Roman" w:cs="Times New Roman"/>
          <w:sz w:val="28"/>
          <w:szCs w:val="28"/>
        </w:rPr>
      </w:pPr>
    </w:p>
    <w:p w:rsidR="00F57EDA" w:rsidRPr="00F2290C" w:rsidRDefault="00A85300" w:rsidP="00A85300">
      <w:pPr>
        <w:spacing w:line="480" w:lineRule="auto"/>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F57EDA" w:rsidRPr="00F2290C">
        <w:rPr>
          <w:rFonts w:ascii="Times New Roman" w:hAnsi="Times New Roman" w:cs="Times New Roman"/>
          <w:sz w:val="28"/>
          <w:szCs w:val="28"/>
        </w:rPr>
        <w:t>So why is this argument not run</w:t>
      </w:r>
      <w:r w:rsidR="00840A1F">
        <w:rPr>
          <w:rFonts w:ascii="Times New Roman" w:hAnsi="Times New Roman" w:cs="Times New Roman"/>
          <w:sz w:val="28"/>
          <w:szCs w:val="28"/>
        </w:rPr>
        <w:t xml:space="preserve"> (or run successfully)</w:t>
      </w:r>
      <w:r w:rsidR="00276431">
        <w:rPr>
          <w:rFonts w:ascii="Times New Roman" w:hAnsi="Times New Roman" w:cs="Times New Roman"/>
          <w:sz w:val="28"/>
          <w:szCs w:val="28"/>
        </w:rPr>
        <w:t xml:space="preserve"> in the county courts</w:t>
      </w:r>
      <w:r w:rsidR="00F57EDA" w:rsidRPr="00F2290C">
        <w:rPr>
          <w:rFonts w:ascii="Times New Roman" w:hAnsi="Times New Roman" w:cs="Times New Roman"/>
          <w:sz w:val="28"/>
          <w:szCs w:val="28"/>
        </w:rPr>
        <w:t>?</w:t>
      </w:r>
    </w:p>
    <w:p w:rsidR="00A85300" w:rsidRDefault="00A85300" w:rsidP="00F57EDA">
      <w:pPr>
        <w:spacing w:line="480" w:lineRule="auto"/>
        <w:rPr>
          <w:rFonts w:ascii="Times New Roman" w:hAnsi="Times New Roman" w:cs="Times New Roman"/>
          <w:sz w:val="28"/>
          <w:szCs w:val="28"/>
        </w:rPr>
      </w:pPr>
    </w:p>
    <w:p w:rsidR="00F57EDA" w:rsidRPr="00F2290C" w:rsidRDefault="00A85300" w:rsidP="00F57EDA">
      <w:pPr>
        <w:spacing w:line="480" w:lineRule="auto"/>
        <w:rPr>
          <w:rFonts w:ascii="Times New Roman" w:hAnsi="Times New Roman" w:cs="Times New Roman"/>
          <w:sz w:val="28"/>
          <w:szCs w:val="28"/>
        </w:rPr>
      </w:pPr>
      <w:r>
        <w:rPr>
          <w:rFonts w:ascii="Times New Roman" w:hAnsi="Times New Roman" w:cs="Times New Roman"/>
          <w:sz w:val="28"/>
          <w:szCs w:val="28"/>
        </w:rPr>
        <w:t>17.</w:t>
      </w:r>
      <w:r w:rsidR="00F57EDA" w:rsidRPr="00F2290C">
        <w:rPr>
          <w:rFonts w:ascii="Times New Roman" w:hAnsi="Times New Roman" w:cs="Times New Roman"/>
          <w:sz w:val="28"/>
          <w:szCs w:val="28"/>
        </w:rPr>
        <w:tab/>
        <w:t xml:space="preserve">The reason on a careful survey of authority, is that it has been successfully argued in a number of cases of persuasive authority, that the principle of res inter </w:t>
      </w:r>
      <w:proofErr w:type="spellStart"/>
      <w:r w:rsidR="00F57EDA" w:rsidRPr="00F2290C">
        <w:rPr>
          <w:rFonts w:ascii="Times New Roman" w:hAnsi="Times New Roman" w:cs="Times New Roman"/>
          <w:sz w:val="28"/>
          <w:szCs w:val="28"/>
        </w:rPr>
        <w:t>alios</w:t>
      </w:r>
      <w:proofErr w:type="spellEnd"/>
      <w:r w:rsidR="00F57EDA" w:rsidRPr="00F2290C">
        <w:rPr>
          <w:rFonts w:ascii="Times New Roman" w:hAnsi="Times New Roman" w:cs="Times New Roman"/>
          <w:sz w:val="28"/>
          <w:szCs w:val="28"/>
        </w:rPr>
        <w:t xml:space="preserve"> </w:t>
      </w:r>
      <w:proofErr w:type="spellStart"/>
      <w:r w:rsidR="00F57EDA" w:rsidRPr="00F2290C">
        <w:rPr>
          <w:rFonts w:ascii="Times New Roman" w:hAnsi="Times New Roman" w:cs="Times New Roman"/>
          <w:sz w:val="28"/>
          <w:szCs w:val="28"/>
        </w:rPr>
        <w:t>acta</w:t>
      </w:r>
      <w:proofErr w:type="spellEnd"/>
      <w:r w:rsidR="00F57EDA" w:rsidRPr="00F2290C">
        <w:rPr>
          <w:rFonts w:ascii="Times New Roman" w:hAnsi="Times New Roman" w:cs="Times New Roman"/>
          <w:sz w:val="28"/>
          <w:szCs w:val="28"/>
        </w:rPr>
        <w:t>, or the collateral source rule, is rather wider than the key authorities noted above would suggest</w:t>
      </w:r>
      <w:r w:rsidR="00B101D0" w:rsidRPr="00F2290C">
        <w:rPr>
          <w:rFonts w:ascii="Times New Roman" w:hAnsi="Times New Roman" w:cs="Times New Roman"/>
          <w:sz w:val="28"/>
          <w:szCs w:val="28"/>
        </w:rPr>
        <w:t>, and the matter has not been grappled with directly in any of the key decisions in the appellate courts in the context of credit hire</w:t>
      </w:r>
      <w:r w:rsidR="00F57EDA" w:rsidRPr="00F2290C">
        <w:rPr>
          <w:rFonts w:ascii="Times New Roman" w:hAnsi="Times New Roman" w:cs="Times New Roman"/>
          <w:sz w:val="28"/>
          <w:szCs w:val="28"/>
        </w:rPr>
        <w:t xml:space="preserve">. </w:t>
      </w:r>
    </w:p>
    <w:p w:rsidR="00F57EDA" w:rsidRPr="00F2290C" w:rsidRDefault="00F57EDA" w:rsidP="00D504CA">
      <w:pPr>
        <w:spacing w:line="480" w:lineRule="auto"/>
        <w:rPr>
          <w:rFonts w:ascii="Times New Roman" w:hAnsi="Times New Roman" w:cs="Times New Roman"/>
          <w:sz w:val="28"/>
          <w:szCs w:val="28"/>
        </w:rPr>
      </w:pPr>
    </w:p>
    <w:p w:rsidR="00D74270" w:rsidRDefault="00D74270" w:rsidP="00D504CA">
      <w:pPr>
        <w:spacing w:line="480" w:lineRule="auto"/>
        <w:rPr>
          <w:rFonts w:ascii="Times New Roman" w:hAnsi="Times New Roman" w:cs="Times New Roman"/>
          <w:b/>
          <w:sz w:val="28"/>
          <w:szCs w:val="28"/>
          <w:u w:val="single"/>
        </w:rPr>
      </w:pPr>
    </w:p>
    <w:p w:rsidR="00D74270" w:rsidRDefault="00D74270" w:rsidP="00D504CA">
      <w:pPr>
        <w:spacing w:line="480" w:lineRule="auto"/>
        <w:rPr>
          <w:rFonts w:ascii="Times New Roman" w:hAnsi="Times New Roman" w:cs="Times New Roman"/>
          <w:b/>
          <w:sz w:val="28"/>
          <w:szCs w:val="28"/>
          <w:u w:val="single"/>
        </w:rPr>
      </w:pPr>
    </w:p>
    <w:p w:rsidR="00D504CA" w:rsidRPr="00A85300" w:rsidRDefault="00D504CA" w:rsidP="00D504CA">
      <w:pPr>
        <w:spacing w:line="480" w:lineRule="auto"/>
        <w:rPr>
          <w:rFonts w:ascii="Times New Roman" w:hAnsi="Times New Roman" w:cs="Times New Roman"/>
          <w:b/>
          <w:sz w:val="28"/>
          <w:szCs w:val="28"/>
          <w:u w:val="single"/>
        </w:rPr>
      </w:pPr>
      <w:r w:rsidRPr="00A85300">
        <w:rPr>
          <w:rFonts w:ascii="Times New Roman" w:hAnsi="Times New Roman" w:cs="Times New Roman"/>
          <w:b/>
          <w:sz w:val="28"/>
          <w:szCs w:val="28"/>
          <w:u w:val="single"/>
        </w:rPr>
        <w:lastRenderedPageBreak/>
        <w:t>The credit hire cases</w:t>
      </w:r>
    </w:p>
    <w:p w:rsidR="00D504CA" w:rsidRPr="00F2290C" w:rsidRDefault="00A85300" w:rsidP="00D504CA">
      <w:pPr>
        <w:spacing w:line="480" w:lineRule="auto"/>
        <w:rPr>
          <w:rFonts w:ascii="Times New Roman" w:hAnsi="Times New Roman" w:cs="Times New Roman"/>
          <w:sz w:val="28"/>
          <w:szCs w:val="28"/>
        </w:rPr>
      </w:pPr>
      <w:r>
        <w:rPr>
          <w:rFonts w:ascii="Times New Roman" w:hAnsi="Times New Roman" w:cs="Times New Roman"/>
          <w:sz w:val="28"/>
          <w:szCs w:val="28"/>
        </w:rPr>
        <w:t>18.</w:t>
      </w:r>
      <w:r w:rsidR="00D504CA" w:rsidRPr="00F2290C">
        <w:rPr>
          <w:rFonts w:ascii="Times New Roman" w:hAnsi="Times New Roman" w:cs="Times New Roman"/>
          <w:sz w:val="28"/>
          <w:szCs w:val="28"/>
        </w:rPr>
        <w:tab/>
        <w:t xml:space="preserve">The principle of res inter </w:t>
      </w:r>
      <w:proofErr w:type="spellStart"/>
      <w:r w:rsidR="00D504CA" w:rsidRPr="00F2290C">
        <w:rPr>
          <w:rFonts w:ascii="Times New Roman" w:hAnsi="Times New Roman" w:cs="Times New Roman"/>
          <w:sz w:val="28"/>
          <w:szCs w:val="28"/>
        </w:rPr>
        <w:t>alios</w:t>
      </w:r>
      <w:proofErr w:type="spellEnd"/>
      <w:r w:rsidR="00D504CA" w:rsidRPr="00F2290C">
        <w:rPr>
          <w:rFonts w:ascii="Times New Roman" w:hAnsi="Times New Roman" w:cs="Times New Roman"/>
          <w:sz w:val="28"/>
          <w:szCs w:val="28"/>
        </w:rPr>
        <w:t xml:space="preserve"> </w:t>
      </w:r>
      <w:proofErr w:type="spellStart"/>
      <w:r w:rsidR="00D504CA" w:rsidRPr="00F2290C">
        <w:rPr>
          <w:rFonts w:ascii="Times New Roman" w:hAnsi="Times New Roman" w:cs="Times New Roman"/>
          <w:sz w:val="28"/>
          <w:szCs w:val="28"/>
        </w:rPr>
        <w:t>acta</w:t>
      </w:r>
      <w:proofErr w:type="spellEnd"/>
      <w:r w:rsidR="00D504CA" w:rsidRPr="00F2290C">
        <w:rPr>
          <w:rFonts w:ascii="Times New Roman" w:hAnsi="Times New Roman" w:cs="Times New Roman"/>
          <w:sz w:val="28"/>
          <w:szCs w:val="28"/>
        </w:rPr>
        <w:t xml:space="preserve">, was directly in play in the leading House of Lords case of  </w:t>
      </w:r>
      <w:proofErr w:type="spellStart"/>
      <w:r w:rsidR="00D504CA" w:rsidRPr="0049063F">
        <w:rPr>
          <w:rFonts w:ascii="Times New Roman" w:hAnsi="Times New Roman" w:cs="Times New Roman"/>
          <w:b/>
          <w:sz w:val="28"/>
          <w:szCs w:val="28"/>
          <w:u w:val="single"/>
        </w:rPr>
        <w:t>Dimond.v.Lovell</w:t>
      </w:r>
      <w:proofErr w:type="spellEnd"/>
      <w:r w:rsidR="005C1878">
        <w:rPr>
          <w:rStyle w:val="FootnoteReference"/>
          <w:rFonts w:ascii="Times New Roman" w:hAnsi="Times New Roman" w:cs="Times New Roman"/>
          <w:b/>
          <w:sz w:val="28"/>
          <w:szCs w:val="28"/>
          <w:u w:val="single"/>
        </w:rPr>
        <w:footnoteReference w:id="6"/>
      </w:r>
      <w:r w:rsidR="00D504CA" w:rsidRPr="0049063F">
        <w:rPr>
          <w:rFonts w:ascii="Times New Roman" w:hAnsi="Times New Roman" w:cs="Times New Roman"/>
          <w:b/>
          <w:sz w:val="28"/>
          <w:szCs w:val="28"/>
        </w:rPr>
        <w:t xml:space="preserve"> </w:t>
      </w:r>
      <w:r w:rsidR="00D504CA" w:rsidRPr="00F2290C">
        <w:rPr>
          <w:rFonts w:ascii="Times New Roman" w:hAnsi="Times New Roman" w:cs="Times New Roman"/>
          <w:sz w:val="28"/>
          <w:szCs w:val="28"/>
        </w:rPr>
        <w:t xml:space="preserve">where it was sought to be argued, that the </w:t>
      </w:r>
      <w:proofErr w:type="spellStart"/>
      <w:r w:rsidR="00D504CA" w:rsidRPr="00F2290C">
        <w:rPr>
          <w:rFonts w:ascii="Times New Roman" w:hAnsi="Times New Roman" w:cs="Times New Roman"/>
          <w:sz w:val="28"/>
          <w:szCs w:val="28"/>
        </w:rPr>
        <w:t>tortfeasor</w:t>
      </w:r>
      <w:proofErr w:type="spellEnd"/>
      <w:r w:rsidR="00D504CA" w:rsidRPr="00F2290C">
        <w:rPr>
          <w:rFonts w:ascii="Times New Roman" w:hAnsi="Times New Roman" w:cs="Times New Roman"/>
          <w:sz w:val="28"/>
          <w:szCs w:val="28"/>
        </w:rPr>
        <w:t xml:space="preserve"> having caused the damage to and the loss of use of the claimant’s vehicle, the fact that a replacement credit hire vehicle had been supplied under a non-enforceable credit hire agreement, was to be disregarded as an example of a benefit that was res inter </w:t>
      </w:r>
      <w:proofErr w:type="spellStart"/>
      <w:r w:rsidR="00D504CA" w:rsidRPr="00F2290C">
        <w:rPr>
          <w:rFonts w:ascii="Times New Roman" w:hAnsi="Times New Roman" w:cs="Times New Roman"/>
          <w:sz w:val="28"/>
          <w:szCs w:val="28"/>
        </w:rPr>
        <w:t>alios</w:t>
      </w:r>
      <w:proofErr w:type="spellEnd"/>
      <w:r w:rsidR="00D504CA" w:rsidRPr="00F2290C">
        <w:rPr>
          <w:rFonts w:ascii="Times New Roman" w:hAnsi="Times New Roman" w:cs="Times New Roman"/>
          <w:sz w:val="28"/>
          <w:szCs w:val="28"/>
        </w:rPr>
        <w:t xml:space="preserve"> </w:t>
      </w:r>
      <w:proofErr w:type="spellStart"/>
      <w:r w:rsidR="00D504CA" w:rsidRPr="00F2290C">
        <w:rPr>
          <w:rFonts w:ascii="Times New Roman" w:hAnsi="Times New Roman" w:cs="Times New Roman"/>
          <w:sz w:val="28"/>
          <w:szCs w:val="28"/>
        </w:rPr>
        <w:t>acta</w:t>
      </w:r>
      <w:proofErr w:type="spellEnd"/>
      <w:r w:rsidR="00D504CA" w:rsidRPr="00F2290C">
        <w:rPr>
          <w:rFonts w:ascii="Times New Roman" w:hAnsi="Times New Roman" w:cs="Times New Roman"/>
          <w:sz w:val="28"/>
          <w:szCs w:val="28"/>
        </w:rPr>
        <w:t xml:space="preserve">, and did not serve to diminish the </w:t>
      </w:r>
      <w:proofErr w:type="spellStart"/>
      <w:r w:rsidR="00D504CA" w:rsidRPr="00F2290C">
        <w:rPr>
          <w:rFonts w:ascii="Times New Roman" w:hAnsi="Times New Roman" w:cs="Times New Roman"/>
          <w:sz w:val="28"/>
          <w:szCs w:val="28"/>
        </w:rPr>
        <w:t>tortfeasor’s</w:t>
      </w:r>
      <w:proofErr w:type="spellEnd"/>
      <w:r w:rsidR="00D504CA" w:rsidRPr="00F2290C">
        <w:rPr>
          <w:rFonts w:ascii="Times New Roman" w:hAnsi="Times New Roman" w:cs="Times New Roman"/>
          <w:sz w:val="28"/>
          <w:szCs w:val="28"/>
        </w:rPr>
        <w:t xml:space="preserve"> liability: which would have enabled the credit hire </w:t>
      </w:r>
      <w:proofErr w:type="gramStart"/>
      <w:r w:rsidR="00D504CA" w:rsidRPr="00F2290C">
        <w:rPr>
          <w:rFonts w:ascii="Times New Roman" w:hAnsi="Times New Roman" w:cs="Times New Roman"/>
          <w:sz w:val="28"/>
          <w:szCs w:val="28"/>
        </w:rPr>
        <w:t>company</w:t>
      </w:r>
      <w:proofErr w:type="gramEnd"/>
      <w:r w:rsidR="00D504CA" w:rsidRPr="00F2290C">
        <w:rPr>
          <w:rFonts w:ascii="Times New Roman" w:hAnsi="Times New Roman" w:cs="Times New Roman"/>
          <w:sz w:val="28"/>
          <w:szCs w:val="28"/>
        </w:rPr>
        <w:t xml:space="preserve"> to neatly avoid the effects of unenforceability under the Consumer Credit Act 1974. Rejecting the point Lord Hoffman noted this:</w:t>
      </w:r>
    </w:p>
    <w:p w:rsidR="00F2290C" w:rsidRDefault="00D504CA" w:rsidP="00D74270">
      <w:pPr>
        <w:spacing w:line="240" w:lineRule="auto"/>
        <w:ind w:left="720"/>
        <w:rPr>
          <w:rFonts w:ascii="Times New Roman" w:hAnsi="Times New Roman" w:cs="Times New Roman"/>
          <w:i/>
          <w:sz w:val="28"/>
          <w:szCs w:val="28"/>
        </w:rPr>
      </w:pPr>
      <w:r w:rsidRPr="00F2290C">
        <w:rPr>
          <w:rFonts w:ascii="Times New Roman" w:hAnsi="Times New Roman" w:cs="Times New Roman"/>
          <w:i/>
          <w:sz w:val="28"/>
          <w:szCs w:val="28"/>
        </w:rPr>
        <w:t xml:space="preserve">But since high water the tide has retreated. The courts have realised that a general principle of res inter </w:t>
      </w:r>
      <w:proofErr w:type="spellStart"/>
      <w:r w:rsidRPr="00F2290C">
        <w:rPr>
          <w:rFonts w:ascii="Times New Roman" w:hAnsi="Times New Roman" w:cs="Times New Roman"/>
          <w:i/>
          <w:sz w:val="28"/>
          <w:szCs w:val="28"/>
        </w:rPr>
        <w:t>alios</w:t>
      </w:r>
      <w:proofErr w:type="spellEnd"/>
      <w:r w:rsidRPr="00F2290C">
        <w:rPr>
          <w:rFonts w:ascii="Times New Roman" w:hAnsi="Times New Roman" w:cs="Times New Roman"/>
          <w:i/>
          <w:sz w:val="28"/>
          <w:szCs w:val="28"/>
        </w:rPr>
        <w:t xml:space="preserve"> </w:t>
      </w:r>
      <w:proofErr w:type="spellStart"/>
      <w:r w:rsidRPr="00F2290C">
        <w:rPr>
          <w:rFonts w:ascii="Times New Roman" w:hAnsi="Times New Roman" w:cs="Times New Roman"/>
          <w:i/>
          <w:sz w:val="28"/>
          <w:szCs w:val="28"/>
        </w:rPr>
        <w:t>acta</w:t>
      </w:r>
      <w:proofErr w:type="spellEnd"/>
      <w:r w:rsidRPr="00F2290C">
        <w:rPr>
          <w:rFonts w:ascii="Times New Roman" w:hAnsi="Times New Roman" w:cs="Times New Roman"/>
          <w:i/>
          <w:sz w:val="28"/>
          <w:szCs w:val="28"/>
        </w:rPr>
        <w:t xml:space="preserve"> which assumes that damages will be paid by "the wrongdoer" out of </w:t>
      </w:r>
      <w:proofErr w:type="gramStart"/>
      <w:r w:rsidRPr="00F2290C">
        <w:rPr>
          <w:rFonts w:ascii="Times New Roman" w:hAnsi="Times New Roman" w:cs="Times New Roman"/>
          <w:i/>
          <w:sz w:val="28"/>
          <w:szCs w:val="28"/>
        </w:rPr>
        <w:t>his own</w:t>
      </w:r>
      <w:proofErr w:type="gramEnd"/>
      <w:r w:rsidRPr="00F2290C">
        <w:rPr>
          <w:rFonts w:ascii="Times New Roman" w:hAnsi="Times New Roman" w:cs="Times New Roman"/>
          <w:i/>
          <w:sz w:val="28"/>
          <w:szCs w:val="28"/>
        </w:rPr>
        <w:t xml:space="preserve"> pocket is not in accordance with reality. The truth is that virtually all compensation is paid directly out of public or insurance funds and that through these channels the burden of compensation is spread across the whole community through an intricate series of economic links. Often, therefore, the sources of "third party benefits" will not in reality </w:t>
      </w:r>
      <w:proofErr w:type="gramStart"/>
      <w:r w:rsidRPr="00F2290C">
        <w:rPr>
          <w:rFonts w:ascii="Times New Roman" w:hAnsi="Times New Roman" w:cs="Times New Roman"/>
          <w:i/>
          <w:sz w:val="28"/>
          <w:szCs w:val="28"/>
        </w:rPr>
        <w:t>be</w:t>
      </w:r>
      <w:proofErr w:type="gramEnd"/>
      <w:r w:rsidRPr="00F2290C">
        <w:rPr>
          <w:rFonts w:ascii="Times New Roman" w:hAnsi="Times New Roman" w:cs="Times New Roman"/>
          <w:i/>
          <w:sz w:val="28"/>
          <w:szCs w:val="28"/>
        </w:rPr>
        <w:t xml:space="preserve"> third parties at all. Their cost will also be borne by the community through taxation or increased prices for goods and services.</w:t>
      </w:r>
    </w:p>
    <w:p w:rsidR="00D74270" w:rsidRDefault="00D74270" w:rsidP="00F2290C">
      <w:pPr>
        <w:spacing w:line="480" w:lineRule="auto"/>
        <w:rPr>
          <w:rFonts w:ascii="Times New Roman" w:hAnsi="Times New Roman" w:cs="Times New Roman"/>
          <w:sz w:val="28"/>
          <w:szCs w:val="28"/>
        </w:rPr>
      </w:pPr>
    </w:p>
    <w:p w:rsidR="00F2290C" w:rsidRDefault="00F2290C" w:rsidP="00F2290C">
      <w:pPr>
        <w:spacing w:line="480" w:lineRule="auto"/>
        <w:rPr>
          <w:rFonts w:ascii="Times New Roman" w:hAnsi="Times New Roman" w:cs="Times New Roman"/>
          <w:sz w:val="28"/>
          <w:szCs w:val="28"/>
        </w:rPr>
      </w:pPr>
      <w:r>
        <w:rPr>
          <w:rFonts w:ascii="Times New Roman" w:hAnsi="Times New Roman" w:cs="Times New Roman"/>
          <w:sz w:val="28"/>
          <w:szCs w:val="28"/>
        </w:rPr>
        <w:t>He continued:</w:t>
      </w:r>
    </w:p>
    <w:p w:rsidR="00F2290C" w:rsidRPr="00F2290C" w:rsidRDefault="00F2290C" w:rsidP="00D74270">
      <w:pPr>
        <w:spacing w:before="100" w:beforeAutospacing="1" w:after="100" w:afterAutospacing="1" w:line="240" w:lineRule="auto"/>
        <w:ind w:left="720"/>
        <w:rPr>
          <w:rFonts w:ascii="Times New Roman" w:eastAsia="Times New Roman" w:hAnsi="Times New Roman" w:cs="Times New Roman"/>
          <w:i/>
          <w:color w:val="000000"/>
          <w:sz w:val="28"/>
          <w:szCs w:val="28"/>
          <w:lang w:eastAsia="en-GB"/>
        </w:rPr>
      </w:pPr>
      <w:r w:rsidRPr="00F2290C">
        <w:rPr>
          <w:rFonts w:ascii="Times New Roman" w:eastAsia="Times New Roman" w:hAnsi="Times New Roman" w:cs="Times New Roman"/>
          <w:i/>
          <w:color w:val="000000"/>
          <w:sz w:val="28"/>
          <w:szCs w:val="28"/>
          <w:lang w:eastAsia="en-GB"/>
        </w:rPr>
        <w:t xml:space="preserve">The House treated the two cases mentioned by Lord Reid in </w:t>
      </w:r>
      <w:r w:rsidRPr="00F2290C">
        <w:rPr>
          <w:rFonts w:ascii="Times New Roman" w:eastAsia="Times New Roman" w:hAnsi="Times New Roman" w:cs="Times New Roman"/>
          <w:i/>
          <w:iCs/>
          <w:color w:val="000000"/>
          <w:sz w:val="28"/>
          <w:szCs w:val="28"/>
          <w:lang w:eastAsia="en-GB"/>
        </w:rPr>
        <w:t>Parry v. Cleaver</w:t>
      </w:r>
      <w:r w:rsidRPr="00F2290C">
        <w:rPr>
          <w:rFonts w:ascii="Times New Roman" w:eastAsia="Times New Roman" w:hAnsi="Times New Roman" w:cs="Times New Roman"/>
          <w:i/>
          <w:color w:val="000000"/>
          <w:sz w:val="28"/>
          <w:szCs w:val="28"/>
          <w:lang w:eastAsia="en-GB"/>
        </w:rPr>
        <w:t xml:space="preserve"> [1970] A.C.1, 14 ("the fruits of insurance which the plaintiff himself has provided" and "the fruits of the benevolence of third parties") as "apparent exceptions to the rule against double recovery" founded on </w:t>
      </w:r>
      <w:r w:rsidRPr="00F2290C">
        <w:rPr>
          <w:rFonts w:ascii="Times New Roman" w:eastAsia="Times New Roman" w:hAnsi="Times New Roman" w:cs="Times New Roman"/>
          <w:i/>
          <w:color w:val="000000"/>
          <w:sz w:val="28"/>
          <w:szCs w:val="28"/>
          <w:lang w:eastAsia="en-GB"/>
        </w:rPr>
        <w:lastRenderedPageBreak/>
        <w:t xml:space="preserve">the special considerations of policy which Lord Reid had explained: see Lord Bridge of Harwich, at p. 358. The House declined to create another exception for the case in which, as in </w:t>
      </w:r>
      <w:r w:rsidRPr="00F2290C">
        <w:rPr>
          <w:rFonts w:ascii="Times New Roman" w:eastAsia="Times New Roman" w:hAnsi="Times New Roman" w:cs="Times New Roman"/>
          <w:i/>
          <w:iCs/>
          <w:color w:val="000000"/>
          <w:sz w:val="28"/>
          <w:szCs w:val="28"/>
          <w:lang w:eastAsia="en-GB"/>
        </w:rPr>
        <w:t>Donnelly v. Joyce</w:t>
      </w:r>
      <w:r w:rsidRPr="00F2290C">
        <w:rPr>
          <w:rFonts w:ascii="Times New Roman" w:eastAsia="Times New Roman" w:hAnsi="Times New Roman" w:cs="Times New Roman"/>
          <w:i/>
          <w:color w:val="000000"/>
          <w:sz w:val="28"/>
          <w:szCs w:val="28"/>
          <w:lang w:eastAsia="en-GB"/>
        </w:rPr>
        <w:t xml:space="preserve"> </w:t>
      </w:r>
      <w:hyperlink r:id="rId9" w:tooltip="Link to BAILII version" w:history="1">
        <w:r w:rsidRPr="00F2290C">
          <w:rPr>
            <w:rFonts w:ascii="Times New Roman" w:eastAsia="Times New Roman" w:hAnsi="Times New Roman" w:cs="Times New Roman"/>
            <w:i/>
            <w:color w:val="0044BB"/>
            <w:sz w:val="28"/>
            <w:szCs w:val="28"/>
            <w:u w:val="single"/>
            <w:lang w:eastAsia="en-GB"/>
          </w:rPr>
          <w:t>[1974] Q.B. 454</w:t>
        </w:r>
      </w:hyperlink>
      <w:r w:rsidRPr="00F2290C">
        <w:rPr>
          <w:rFonts w:ascii="Times New Roman" w:eastAsia="Times New Roman" w:hAnsi="Times New Roman" w:cs="Times New Roman"/>
          <w:i/>
          <w:color w:val="000000"/>
          <w:sz w:val="28"/>
          <w:szCs w:val="28"/>
          <w:lang w:eastAsia="en-GB"/>
        </w:rPr>
        <w:t>, the plaintiff claims compensation for the reasonable cost of necessary services which have in fact been provided voluntarily by a third party. It decided that in such a case damages cannot be recovered for the plaintiff's own benefit. He can sue only if he claims as trustee for the person who provided the services: see p. 363.</w:t>
      </w:r>
    </w:p>
    <w:p w:rsidR="00F2290C" w:rsidRPr="00F2290C" w:rsidRDefault="00F2290C" w:rsidP="00D74270">
      <w:pPr>
        <w:spacing w:before="100" w:beforeAutospacing="1" w:after="100" w:afterAutospacing="1" w:line="240" w:lineRule="auto"/>
        <w:ind w:left="720"/>
        <w:rPr>
          <w:rFonts w:ascii="Times New Roman" w:eastAsia="Times New Roman" w:hAnsi="Times New Roman" w:cs="Times New Roman"/>
          <w:i/>
          <w:color w:val="000000"/>
          <w:sz w:val="28"/>
          <w:szCs w:val="28"/>
          <w:lang w:eastAsia="en-GB"/>
        </w:rPr>
      </w:pPr>
      <w:r w:rsidRPr="00F2290C">
        <w:rPr>
          <w:rFonts w:ascii="Times New Roman" w:eastAsia="Times New Roman" w:hAnsi="Times New Roman" w:cs="Times New Roman"/>
          <w:i/>
          <w:color w:val="000000"/>
          <w:sz w:val="28"/>
          <w:szCs w:val="28"/>
          <w:lang w:eastAsia="en-GB"/>
        </w:rPr>
        <w:t xml:space="preserve">This case is of course far away from the gratuitous provision of services (usually by a relative) which was considered suitable for recovery as trustee in </w:t>
      </w:r>
      <w:r w:rsidRPr="00F2290C">
        <w:rPr>
          <w:rFonts w:ascii="Times New Roman" w:eastAsia="Times New Roman" w:hAnsi="Times New Roman" w:cs="Times New Roman"/>
          <w:i/>
          <w:iCs/>
          <w:color w:val="000000"/>
          <w:sz w:val="28"/>
          <w:szCs w:val="28"/>
          <w:lang w:eastAsia="en-GB"/>
        </w:rPr>
        <w:t>Hunt v. Severs</w:t>
      </w:r>
      <w:r w:rsidRPr="00F2290C">
        <w:rPr>
          <w:rFonts w:ascii="Times New Roman" w:eastAsia="Times New Roman" w:hAnsi="Times New Roman" w:cs="Times New Roman"/>
          <w:i/>
          <w:color w:val="000000"/>
          <w:sz w:val="28"/>
          <w:szCs w:val="28"/>
          <w:lang w:eastAsia="en-GB"/>
        </w:rPr>
        <w:t xml:space="preserve"> </w:t>
      </w:r>
      <w:hyperlink r:id="rId10" w:tooltip="Link to BAILII version" w:history="1">
        <w:r w:rsidRPr="00F2290C">
          <w:rPr>
            <w:rFonts w:ascii="Times New Roman" w:eastAsia="Times New Roman" w:hAnsi="Times New Roman" w:cs="Times New Roman"/>
            <w:i/>
            <w:color w:val="0044BB"/>
            <w:sz w:val="28"/>
            <w:szCs w:val="28"/>
            <w:u w:val="single"/>
            <w:lang w:eastAsia="en-GB"/>
          </w:rPr>
          <w:t>[1994] 2 A.C. 350</w:t>
        </w:r>
      </w:hyperlink>
      <w:r w:rsidRPr="00F2290C">
        <w:rPr>
          <w:rFonts w:ascii="Times New Roman" w:eastAsia="Times New Roman" w:hAnsi="Times New Roman" w:cs="Times New Roman"/>
          <w:i/>
          <w:color w:val="000000"/>
          <w:sz w:val="28"/>
          <w:szCs w:val="28"/>
          <w:lang w:eastAsia="en-GB"/>
        </w:rPr>
        <w:t>. If M</w:t>
      </w:r>
      <w:r w:rsidR="00276431">
        <w:rPr>
          <w:rFonts w:ascii="Times New Roman" w:eastAsia="Times New Roman" w:hAnsi="Times New Roman" w:cs="Times New Roman"/>
          <w:i/>
          <w:color w:val="000000"/>
          <w:sz w:val="28"/>
          <w:szCs w:val="28"/>
          <w:lang w:eastAsia="en-GB"/>
        </w:rPr>
        <w:t xml:space="preserve">rs. </w:t>
      </w:r>
      <w:proofErr w:type="spellStart"/>
      <w:r w:rsidR="00276431">
        <w:rPr>
          <w:rFonts w:ascii="Times New Roman" w:eastAsia="Times New Roman" w:hAnsi="Times New Roman" w:cs="Times New Roman"/>
          <w:i/>
          <w:color w:val="000000"/>
          <w:sz w:val="28"/>
          <w:szCs w:val="28"/>
          <w:lang w:eastAsia="en-GB"/>
        </w:rPr>
        <w:t>Dimond</w:t>
      </w:r>
      <w:proofErr w:type="spellEnd"/>
      <w:r w:rsidR="00276431">
        <w:rPr>
          <w:rFonts w:ascii="Times New Roman" w:eastAsia="Times New Roman" w:hAnsi="Times New Roman" w:cs="Times New Roman"/>
          <w:i/>
          <w:color w:val="000000"/>
          <w:sz w:val="28"/>
          <w:szCs w:val="28"/>
          <w:lang w:eastAsia="en-GB"/>
        </w:rPr>
        <w:t xml:space="preserve"> is allowed to sue Mr</w:t>
      </w:r>
      <w:r w:rsidRPr="00F2290C">
        <w:rPr>
          <w:rFonts w:ascii="Times New Roman" w:eastAsia="Times New Roman" w:hAnsi="Times New Roman" w:cs="Times New Roman"/>
          <w:i/>
          <w:color w:val="000000"/>
          <w:sz w:val="28"/>
          <w:szCs w:val="28"/>
          <w:lang w:eastAsia="en-GB"/>
        </w:rPr>
        <w:t xml:space="preserve"> Lovell as trustee for 1st Automotive, the effect will be to confer legal rights upon 1st Automotive by virtue of an agreement which the Act of 1974 has declared to be unenforceable. This would be contrary to the intention of the Act. The only way, therefo</w:t>
      </w:r>
      <w:r w:rsidR="00276431">
        <w:rPr>
          <w:rFonts w:ascii="Times New Roman" w:eastAsia="Times New Roman" w:hAnsi="Times New Roman" w:cs="Times New Roman"/>
          <w:i/>
          <w:color w:val="000000"/>
          <w:sz w:val="28"/>
          <w:szCs w:val="28"/>
          <w:lang w:eastAsia="en-GB"/>
        </w:rPr>
        <w:t>re, in which Mrs</w:t>
      </w:r>
      <w:r w:rsidRPr="00F2290C">
        <w:rPr>
          <w:rFonts w:ascii="Times New Roman" w:eastAsia="Times New Roman" w:hAnsi="Times New Roman" w:cs="Times New Roman"/>
          <w:i/>
          <w:color w:val="000000"/>
          <w:sz w:val="28"/>
          <w:szCs w:val="28"/>
          <w:lang w:eastAsia="en-GB"/>
        </w:rPr>
        <w:t xml:space="preserve"> </w:t>
      </w:r>
      <w:proofErr w:type="spellStart"/>
      <w:r w:rsidRPr="00F2290C">
        <w:rPr>
          <w:rFonts w:ascii="Times New Roman" w:eastAsia="Times New Roman" w:hAnsi="Times New Roman" w:cs="Times New Roman"/>
          <w:i/>
          <w:color w:val="000000"/>
          <w:sz w:val="28"/>
          <w:szCs w:val="28"/>
          <w:lang w:eastAsia="en-GB"/>
        </w:rPr>
        <w:t>Dimond</w:t>
      </w:r>
      <w:proofErr w:type="spellEnd"/>
      <w:r w:rsidRPr="00F2290C">
        <w:rPr>
          <w:rFonts w:ascii="Times New Roman" w:eastAsia="Times New Roman" w:hAnsi="Times New Roman" w:cs="Times New Roman"/>
          <w:i/>
          <w:color w:val="000000"/>
          <w:sz w:val="28"/>
          <w:szCs w:val="28"/>
          <w:lang w:eastAsia="en-GB"/>
        </w:rPr>
        <w:t xml:space="preserve"> could recover damages for the notional cost of hiring a car which she has actually had for </w:t>
      </w:r>
      <w:proofErr w:type="gramStart"/>
      <w:r w:rsidRPr="00F2290C">
        <w:rPr>
          <w:rFonts w:ascii="Times New Roman" w:eastAsia="Times New Roman" w:hAnsi="Times New Roman" w:cs="Times New Roman"/>
          <w:i/>
          <w:color w:val="000000"/>
          <w:sz w:val="28"/>
          <w:szCs w:val="28"/>
          <w:lang w:eastAsia="en-GB"/>
        </w:rPr>
        <w:t>free</w:t>
      </w:r>
      <w:proofErr w:type="gramEnd"/>
      <w:r w:rsidRPr="00F2290C">
        <w:rPr>
          <w:rFonts w:ascii="Times New Roman" w:eastAsia="Times New Roman" w:hAnsi="Times New Roman" w:cs="Times New Roman"/>
          <w:i/>
          <w:color w:val="000000"/>
          <w:sz w:val="28"/>
          <w:szCs w:val="28"/>
          <w:lang w:eastAsia="en-GB"/>
        </w:rPr>
        <w:t xml:space="preserve"> is if your Lordships were willing to create another exception to the rule against double recovery. I can see no basis for doing so. The policy of the Act of 1974 is to penalise 1st Automotive for not entering into a properly executed agreement. A consequence is often to confer a benefit upon the debtor, but that is a consequence rather than the primary purpose. There is no reason of policy why</w:t>
      </w:r>
      <w:r w:rsidR="00276431">
        <w:rPr>
          <w:rFonts w:ascii="Times New Roman" w:eastAsia="Times New Roman" w:hAnsi="Times New Roman" w:cs="Times New Roman"/>
          <w:i/>
          <w:color w:val="000000"/>
          <w:sz w:val="28"/>
          <w:szCs w:val="28"/>
          <w:lang w:eastAsia="en-GB"/>
        </w:rPr>
        <w:t xml:space="preserve"> the law should insist that Mrs</w:t>
      </w:r>
      <w:r w:rsidRPr="00F2290C">
        <w:rPr>
          <w:rFonts w:ascii="Times New Roman" w:eastAsia="Times New Roman" w:hAnsi="Times New Roman" w:cs="Times New Roman"/>
          <w:i/>
          <w:color w:val="000000"/>
          <w:sz w:val="28"/>
          <w:szCs w:val="28"/>
          <w:lang w:eastAsia="en-GB"/>
        </w:rPr>
        <w:t xml:space="preserve"> </w:t>
      </w:r>
      <w:proofErr w:type="spellStart"/>
      <w:r w:rsidRPr="00F2290C">
        <w:rPr>
          <w:rFonts w:ascii="Times New Roman" w:eastAsia="Times New Roman" w:hAnsi="Times New Roman" w:cs="Times New Roman"/>
          <w:i/>
          <w:color w:val="000000"/>
          <w:sz w:val="28"/>
          <w:szCs w:val="28"/>
          <w:lang w:eastAsia="en-GB"/>
        </w:rPr>
        <w:t>Dimond</w:t>
      </w:r>
      <w:proofErr w:type="spellEnd"/>
      <w:r w:rsidRPr="00F2290C">
        <w:rPr>
          <w:rFonts w:ascii="Times New Roman" w:eastAsia="Times New Roman" w:hAnsi="Times New Roman" w:cs="Times New Roman"/>
          <w:i/>
          <w:color w:val="000000"/>
          <w:sz w:val="28"/>
          <w:szCs w:val="28"/>
          <w:lang w:eastAsia="en-GB"/>
        </w:rPr>
        <w:t xml:space="preserve"> should be able to retain that benefit and make a double recovery rather than that it should reduce the liability of Mr. Lovell's insurers.</w:t>
      </w:r>
    </w:p>
    <w:p w:rsidR="00D74270" w:rsidRDefault="00D74270" w:rsidP="00D504CA">
      <w:pPr>
        <w:spacing w:line="480" w:lineRule="auto"/>
        <w:rPr>
          <w:rFonts w:ascii="Times New Roman" w:hAnsi="Times New Roman" w:cs="Times New Roman"/>
          <w:sz w:val="28"/>
          <w:szCs w:val="28"/>
        </w:rPr>
      </w:pPr>
    </w:p>
    <w:p w:rsidR="00F2290C" w:rsidRDefault="00A85300" w:rsidP="00D504CA">
      <w:pPr>
        <w:spacing w:line="480" w:lineRule="auto"/>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F2290C" w:rsidRPr="00F2290C">
        <w:rPr>
          <w:rFonts w:ascii="Times New Roman" w:hAnsi="Times New Roman" w:cs="Times New Roman"/>
          <w:sz w:val="28"/>
          <w:szCs w:val="28"/>
        </w:rPr>
        <w:t>The sig</w:t>
      </w:r>
      <w:r w:rsidR="00F2290C">
        <w:rPr>
          <w:rFonts w:ascii="Times New Roman" w:hAnsi="Times New Roman" w:cs="Times New Roman"/>
          <w:sz w:val="28"/>
          <w:szCs w:val="28"/>
        </w:rPr>
        <w:t xml:space="preserve">nificance of this part of his speech is plain, in the context of comprehensive insurance: it establishes that in modern authority, the position of insurance and benevolence, are treated as anomalous exceptions, to a general rule against double recovery, and an emphasis on the primacy of the compensation principle in the assessment of damages, a trend identified by </w:t>
      </w:r>
      <w:r w:rsidR="00F2290C">
        <w:rPr>
          <w:rFonts w:ascii="Times New Roman" w:hAnsi="Times New Roman" w:cs="Times New Roman"/>
          <w:sz w:val="28"/>
          <w:szCs w:val="28"/>
        </w:rPr>
        <w:lastRenderedPageBreak/>
        <w:t>Harvey McGregor QC, nearly 50 years earlier</w:t>
      </w:r>
      <w:r w:rsidR="00F2290C">
        <w:rPr>
          <w:rStyle w:val="FootnoteReference"/>
          <w:rFonts w:ascii="Times New Roman" w:hAnsi="Times New Roman" w:cs="Times New Roman"/>
          <w:sz w:val="28"/>
          <w:szCs w:val="28"/>
        </w:rPr>
        <w:footnoteReference w:id="7"/>
      </w:r>
      <w:r w:rsidR="00F2290C">
        <w:rPr>
          <w:rFonts w:ascii="Times New Roman" w:hAnsi="Times New Roman" w:cs="Times New Roman"/>
          <w:sz w:val="28"/>
          <w:szCs w:val="28"/>
        </w:rPr>
        <w:t xml:space="preserve"> in an article</w:t>
      </w:r>
      <w:r w:rsidR="00840A1F">
        <w:rPr>
          <w:rFonts w:ascii="Times New Roman" w:hAnsi="Times New Roman" w:cs="Times New Roman"/>
          <w:sz w:val="28"/>
          <w:szCs w:val="28"/>
        </w:rPr>
        <w:t xml:space="preserve"> he wrote</w:t>
      </w:r>
      <w:r w:rsidR="00F2290C">
        <w:rPr>
          <w:rFonts w:ascii="Times New Roman" w:hAnsi="Times New Roman" w:cs="Times New Roman"/>
          <w:sz w:val="28"/>
          <w:szCs w:val="28"/>
        </w:rPr>
        <w:t xml:space="preserve"> published in 1965.</w:t>
      </w:r>
    </w:p>
    <w:p w:rsidR="00F2290C" w:rsidRDefault="00A85300" w:rsidP="00D504CA">
      <w:pPr>
        <w:spacing w:line="48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F2290C">
        <w:rPr>
          <w:rFonts w:ascii="Times New Roman" w:hAnsi="Times New Roman" w:cs="Times New Roman"/>
          <w:sz w:val="28"/>
          <w:szCs w:val="28"/>
        </w:rPr>
        <w:t xml:space="preserve">In the conjoined cases reported as </w:t>
      </w:r>
      <w:proofErr w:type="spellStart"/>
      <w:r w:rsidR="00F2290C" w:rsidRPr="0049063F">
        <w:rPr>
          <w:rFonts w:ascii="Times New Roman" w:hAnsi="Times New Roman" w:cs="Times New Roman"/>
          <w:b/>
          <w:sz w:val="28"/>
          <w:szCs w:val="28"/>
          <w:u w:val="single"/>
        </w:rPr>
        <w:t>Burdis.v.Livsey</w:t>
      </w:r>
      <w:proofErr w:type="spellEnd"/>
      <w:r w:rsidR="00F2290C">
        <w:rPr>
          <w:rStyle w:val="FootnoteReference"/>
          <w:rFonts w:ascii="Times New Roman" w:hAnsi="Times New Roman" w:cs="Times New Roman"/>
          <w:sz w:val="28"/>
          <w:szCs w:val="28"/>
        </w:rPr>
        <w:footnoteReference w:id="8"/>
      </w:r>
      <w:r w:rsidR="00F2290C">
        <w:rPr>
          <w:rFonts w:ascii="Times New Roman" w:hAnsi="Times New Roman" w:cs="Times New Roman"/>
          <w:sz w:val="28"/>
          <w:szCs w:val="28"/>
        </w:rPr>
        <w:t xml:space="preserve"> </w:t>
      </w:r>
      <w:r w:rsidR="00840A1F">
        <w:rPr>
          <w:rFonts w:ascii="Times New Roman" w:hAnsi="Times New Roman" w:cs="Times New Roman"/>
          <w:sz w:val="28"/>
          <w:szCs w:val="28"/>
        </w:rPr>
        <w:t>the Court of Appeal made the following analysis of the nature of the loss incurred by hire charges</w:t>
      </w:r>
      <w:r w:rsidR="00F0028F">
        <w:rPr>
          <w:rFonts w:ascii="Times New Roman" w:hAnsi="Times New Roman" w:cs="Times New Roman"/>
          <w:sz w:val="28"/>
          <w:szCs w:val="28"/>
        </w:rPr>
        <w:t xml:space="preserve">, distinguishing between direct loss, which was subject to the principle of res inter </w:t>
      </w:r>
      <w:proofErr w:type="spellStart"/>
      <w:r w:rsidR="00F0028F">
        <w:rPr>
          <w:rFonts w:ascii="Times New Roman" w:hAnsi="Times New Roman" w:cs="Times New Roman"/>
          <w:sz w:val="28"/>
          <w:szCs w:val="28"/>
        </w:rPr>
        <w:t>alios</w:t>
      </w:r>
      <w:proofErr w:type="spellEnd"/>
      <w:r w:rsidR="00F0028F">
        <w:rPr>
          <w:rFonts w:ascii="Times New Roman" w:hAnsi="Times New Roman" w:cs="Times New Roman"/>
          <w:sz w:val="28"/>
          <w:szCs w:val="28"/>
        </w:rPr>
        <w:t xml:space="preserve"> </w:t>
      </w:r>
      <w:proofErr w:type="spellStart"/>
      <w:r w:rsidR="00F0028F">
        <w:rPr>
          <w:rFonts w:ascii="Times New Roman" w:hAnsi="Times New Roman" w:cs="Times New Roman"/>
          <w:sz w:val="28"/>
          <w:szCs w:val="28"/>
        </w:rPr>
        <w:t>acta</w:t>
      </w:r>
      <w:proofErr w:type="spellEnd"/>
      <w:r w:rsidR="00F0028F">
        <w:rPr>
          <w:rFonts w:ascii="Times New Roman" w:hAnsi="Times New Roman" w:cs="Times New Roman"/>
          <w:sz w:val="28"/>
          <w:szCs w:val="28"/>
        </w:rPr>
        <w:t>, and potential future loss</w:t>
      </w:r>
      <w:r w:rsidR="00840A1F">
        <w:rPr>
          <w:rFonts w:ascii="Times New Roman" w:hAnsi="Times New Roman" w:cs="Times New Roman"/>
          <w:sz w:val="28"/>
          <w:szCs w:val="28"/>
        </w:rPr>
        <w:t>:</w:t>
      </w:r>
    </w:p>
    <w:p w:rsidR="00840A1F" w:rsidRPr="00A85300" w:rsidRDefault="00840A1F" w:rsidP="00840A1F">
      <w:pPr>
        <w:numPr>
          <w:ilvl w:val="0"/>
          <w:numId w:val="1"/>
        </w:numPr>
        <w:spacing w:before="100" w:beforeAutospacing="1" w:after="100" w:afterAutospacing="1" w:line="240" w:lineRule="auto"/>
        <w:rPr>
          <w:rFonts w:ascii="Times New Roman" w:eastAsia="Times New Roman" w:hAnsi="Times New Roman" w:cs="Times New Roman"/>
          <w:i/>
          <w:color w:val="000000"/>
          <w:sz w:val="28"/>
          <w:szCs w:val="28"/>
          <w:lang w:eastAsia="en-GB"/>
        </w:rPr>
      </w:pPr>
      <w:bookmarkStart w:id="0" w:name="para86"/>
      <w:r w:rsidRPr="00A85300">
        <w:rPr>
          <w:rFonts w:ascii="Times New Roman" w:eastAsia="Times New Roman" w:hAnsi="Times New Roman" w:cs="Times New Roman"/>
          <w:i/>
          <w:color w:val="000000"/>
          <w:sz w:val="28"/>
          <w:szCs w:val="28"/>
          <w:lang w:eastAsia="en-GB"/>
        </w:rPr>
        <w:t xml:space="preserve">By contrast, the hire charges which were sought to be recovered in </w:t>
      </w:r>
      <w:proofErr w:type="spellStart"/>
      <w:r w:rsidRPr="00A85300">
        <w:rPr>
          <w:rFonts w:ascii="Times New Roman" w:eastAsia="Times New Roman" w:hAnsi="Times New Roman" w:cs="Times New Roman"/>
          <w:i/>
          <w:iCs/>
          <w:color w:val="000000"/>
          <w:sz w:val="28"/>
          <w:szCs w:val="28"/>
          <w:lang w:eastAsia="en-GB"/>
        </w:rPr>
        <w:t>Dimond</w:t>
      </w:r>
      <w:proofErr w:type="spellEnd"/>
      <w:r w:rsidRPr="00A85300">
        <w:rPr>
          <w:rFonts w:ascii="Times New Roman" w:eastAsia="Times New Roman" w:hAnsi="Times New Roman" w:cs="Times New Roman"/>
          <w:i/>
          <w:iCs/>
          <w:color w:val="000000"/>
          <w:sz w:val="28"/>
          <w:szCs w:val="28"/>
          <w:lang w:eastAsia="en-GB"/>
        </w:rPr>
        <w:t xml:space="preserve"> </w:t>
      </w:r>
      <w:r w:rsidRPr="00A85300">
        <w:rPr>
          <w:rFonts w:ascii="Times New Roman" w:eastAsia="Times New Roman" w:hAnsi="Times New Roman" w:cs="Times New Roman"/>
          <w:i/>
          <w:color w:val="000000"/>
          <w:sz w:val="28"/>
          <w:szCs w:val="28"/>
          <w:lang w:eastAsia="en-GB"/>
        </w:rPr>
        <w:t xml:space="preserve">represented a potential future loss, consequent upon the defendant’s tort, which was recoverable as damages only if and when it was in fact suffered. In the language of pleading, the hire charges constituted special damage. As Judge Harris put it in </w:t>
      </w:r>
      <w:r w:rsidRPr="00A85300">
        <w:rPr>
          <w:rFonts w:ascii="Times New Roman" w:eastAsia="Times New Roman" w:hAnsi="Times New Roman" w:cs="Times New Roman"/>
          <w:i/>
          <w:iCs/>
          <w:color w:val="000000"/>
          <w:sz w:val="28"/>
          <w:szCs w:val="28"/>
          <w:lang w:eastAsia="en-GB"/>
        </w:rPr>
        <w:t xml:space="preserve">Seddon </w:t>
      </w:r>
      <w:r w:rsidRPr="00A85300">
        <w:rPr>
          <w:rFonts w:ascii="Times New Roman" w:eastAsia="Times New Roman" w:hAnsi="Times New Roman" w:cs="Times New Roman"/>
          <w:i/>
          <w:color w:val="000000"/>
          <w:sz w:val="28"/>
          <w:szCs w:val="28"/>
          <w:lang w:eastAsia="en-GB"/>
        </w:rPr>
        <w:t xml:space="preserve">(at page 2890), in the passage quoted earlier, the hire charges are “of the essence of the damage which is consequential loss or special damage”. Hence in </w:t>
      </w:r>
      <w:proofErr w:type="spellStart"/>
      <w:r w:rsidRPr="00A85300">
        <w:rPr>
          <w:rFonts w:ascii="Times New Roman" w:eastAsia="Times New Roman" w:hAnsi="Times New Roman" w:cs="Times New Roman"/>
          <w:i/>
          <w:iCs/>
          <w:color w:val="000000"/>
          <w:sz w:val="28"/>
          <w:szCs w:val="28"/>
          <w:lang w:eastAsia="en-GB"/>
        </w:rPr>
        <w:t>Dimond</w:t>
      </w:r>
      <w:proofErr w:type="spellEnd"/>
      <w:r w:rsidRPr="00A85300">
        <w:rPr>
          <w:rFonts w:ascii="Times New Roman" w:eastAsia="Times New Roman" w:hAnsi="Times New Roman" w:cs="Times New Roman"/>
          <w:i/>
          <w:color w:val="000000"/>
          <w:sz w:val="28"/>
          <w:szCs w:val="28"/>
          <w:lang w:eastAsia="en-GB"/>
        </w:rPr>
        <w:t xml:space="preserve">, because the credit hire agreement was unenforceable and the hire charges were accordingly irrecoverable from the claimant, the hire charges never formed part of the claimant’s loss. </w:t>
      </w:r>
      <w:bookmarkEnd w:id="0"/>
    </w:p>
    <w:p w:rsidR="00840A1F" w:rsidRPr="00A85300" w:rsidRDefault="00840A1F" w:rsidP="00840A1F">
      <w:pPr>
        <w:numPr>
          <w:ilvl w:val="0"/>
          <w:numId w:val="2"/>
        </w:numPr>
        <w:spacing w:before="100" w:beforeAutospacing="1" w:after="100" w:afterAutospacing="1" w:line="240" w:lineRule="auto"/>
        <w:rPr>
          <w:rFonts w:ascii="Times New Roman" w:eastAsia="Times New Roman" w:hAnsi="Times New Roman" w:cs="Times New Roman"/>
          <w:i/>
          <w:color w:val="000000"/>
          <w:sz w:val="28"/>
          <w:szCs w:val="28"/>
          <w:lang w:eastAsia="en-GB"/>
        </w:rPr>
      </w:pPr>
      <w:bookmarkStart w:id="1" w:name="para87"/>
      <w:r w:rsidRPr="00A85300">
        <w:rPr>
          <w:rFonts w:ascii="Times New Roman" w:eastAsia="Times New Roman" w:hAnsi="Times New Roman" w:cs="Times New Roman"/>
          <w:i/>
          <w:color w:val="000000"/>
          <w:sz w:val="28"/>
          <w:szCs w:val="28"/>
          <w:lang w:eastAsia="en-GB"/>
        </w:rPr>
        <w:t xml:space="preserve">The distinction between an immediate and direct loss on the one hand and a potential future loss on the other is of importance for present purposes because it leads to different treatment of benefits derived from a third party after the commission of the tort. In every case a claimant’s recoverable loss is limited to the loss which he has actually suffered - damages in the tort of negligence are, after all, “purely compensatory” (see per Lord Bridge in </w:t>
      </w:r>
      <w:r w:rsidRPr="00A85300">
        <w:rPr>
          <w:rFonts w:ascii="Times New Roman" w:eastAsia="Times New Roman" w:hAnsi="Times New Roman" w:cs="Times New Roman"/>
          <w:i/>
          <w:iCs/>
          <w:color w:val="000000"/>
          <w:sz w:val="28"/>
          <w:szCs w:val="28"/>
          <w:lang w:eastAsia="en-GB"/>
        </w:rPr>
        <w:t xml:space="preserve">Hunt v Severs </w:t>
      </w:r>
      <w:r w:rsidRPr="00A85300">
        <w:rPr>
          <w:rFonts w:ascii="Times New Roman" w:eastAsia="Times New Roman" w:hAnsi="Times New Roman" w:cs="Times New Roman"/>
          <w:i/>
          <w:color w:val="000000"/>
          <w:sz w:val="28"/>
          <w:szCs w:val="28"/>
          <w:lang w:eastAsia="en-GB"/>
        </w:rPr>
        <w:t xml:space="preserve">at page 357H) - but the process of determining, in the light of subsequent events, what loss the claimant has actually suffered differs according to whether the loss was suffered when the tort was committed (direct loss) or whether it was suffered subsequently (consequential loss). </w:t>
      </w:r>
      <w:bookmarkEnd w:id="1"/>
    </w:p>
    <w:p w:rsidR="00840A1F" w:rsidRPr="00A85300" w:rsidRDefault="00840A1F" w:rsidP="00840A1F">
      <w:pPr>
        <w:numPr>
          <w:ilvl w:val="0"/>
          <w:numId w:val="3"/>
        </w:numPr>
        <w:spacing w:before="100" w:beforeAutospacing="1" w:after="100" w:afterAutospacing="1" w:line="240" w:lineRule="auto"/>
        <w:rPr>
          <w:rFonts w:ascii="Times New Roman" w:eastAsia="Times New Roman" w:hAnsi="Times New Roman" w:cs="Times New Roman"/>
          <w:i/>
          <w:color w:val="000000"/>
          <w:sz w:val="28"/>
          <w:szCs w:val="28"/>
          <w:lang w:eastAsia="en-GB"/>
        </w:rPr>
      </w:pPr>
      <w:bookmarkStart w:id="2" w:name="para88"/>
      <w:r w:rsidRPr="00A85300">
        <w:rPr>
          <w:rFonts w:ascii="Times New Roman" w:eastAsia="Times New Roman" w:hAnsi="Times New Roman" w:cs="Times New Roman"/>
          <w:i/>
          <w:color w:val="000000"/>
          <w:sz w:val="28"/>
          <w:szCs w:val="28"/>
          <w:lang w:eastAsia="en-GB"/>
        </w:rPr>
        <w:t xml:space="preserve">In a case of direct loss, subsequent events will operate to reduce or extinguish the loss only in so far as such events are </w:t>
      </w:r>
      <w:proofErr w:type="spellStart"/>
      <w:r w:rsidRPr="00A85300">
        <w:rPr>
          <w:rFonts w:ascii="Times New Roman" w:eastAsia="Times New Roman" w:hAnsi="Times New Roman" w:cs="Times New Roman"/>
          <w:i/>
          <w:color w:val="000000"/>
          <w:sz w:val="28"/>
          <w:szCs w:val="28"/>
          <w:lang w:eastAsia="en-GB"/>
        </w:rPr>
        <w:t>referable</w:t>
      </w:r>
      <w:proofErr w:type="spellEnd"/>
      <w:r w:rsidRPr="00A85300">
        <w:rPr>
          <w:rFonts w:ascii="Times New Roman" w:eastAsia="Times New Roman" w:hAnsi="Times New Roman" w:cs="Times New Roman"/>
          <w:i/>
          <w:color w:val="000000"/>
          <w:sz w:val="28"/>
          <w:szCs w:val="28"/>
          <w:lang w:eastAsia="en-GB"/>
        </w:rPr>
        <w:t xml:space="preserve"> to the claimant’s duty to mitigate his loss, and hence referable in a causative sense to the commission of the tort (see </w:t>
      </w:r>
      <w:r w:rsidRPr="00A85300">
        <w:rPr>
          <w:rFonts w:ascii="Times New Roman" w:eastAsia="Times New Roman" w:hAnsi="Times New Roman" w:cs="Times New Roman"/>
          <w:i/>
          <w:iCs/>
          <w:color w:val="000000"/>
          <w:sz w:val="28"/>
          <w:szCs w:val="28"/>
          <w:lang w:eastAsia="en-GB"/>
        </w:rPr>
        <w:t xml:space="preserve">British Westinghouse </w:t>
      </w:r>
      <w:r w:rsidRPr="00A85300">
        <w:rPr>
          <w:rFonts w:ascii="Times New Roman" w:eastAsia="Times New Roman" w:hAnsi="Times New Roman" w:cs="Times New Roman"/>
          <w:i/>
          <w:color w:val="000000"/>
          <w:sz w:val="28"/>
          <w:szCs w:val="28"/>
          <w:lang w:eastAsia="en-GB"/>
        </w:rPr>
        <w:t xml:space="preserve">and </w:t>
      </w:r>
      <w:r w:rsidRPr="00A85300">
        <w:rPr>
          <w:rFonts w:ascii="Times New Roman" w:eastAsia="Times New Roman" w:hAnsi="Times New Roman" w:cs="Times New Roman"/>
          <w:i/>
          <w:iCs/>
          <w:color w:val="000000"/>
          <w:sz w:val="28"/>
          <w:szCs w:val="28"/>
          <w:lang w:eastAsia="en-GB"/>
        </w:rPr>
        <w:t xml:space="preserve">The </w:t>
      </w:r>
      <w:r w:rsidRPr="00A85300">
        <w:rPr>
          <w:rFonts w:ascii="Times New Roman" w:eastAsia="Times New Roman" w:hAnsi="Times New Roman" w:cs="Times New Roman"/>
          <w:i/>
          <w:iCs/>
          <w:color w:val="000000"/>
          <w:sz w:val="28"/>
          <w:szCs w:val="28"/>
          <w:lang w:eastAsia="en-GB"/>
        </w:rPr>
        <w:lastRenderedPageBreak/>
        <w:t>Elena D’Amico</w:t>
      </w:r>
      <w:r w:rsidRPr="00A85300">
        <w:rPr>
          <w:rFonts w:ascii="Times New Roman" w:eastAsia="Times New Roman" w:hAnsi="Times New Roman" w:cs="Times New Roman"/>
          <w:i/>
          <w:color w:val="000000"/>
          <w:sz w:val="28"/>
          <w:szCs w:val="28"/>
          <w:lang w:eastAsia="en-GB"/>
        </w:rPr>
        <w:t xml:space="preserve">. In </w:t>
      </w:r>
      <w:r w:rsidRPr="00A85300">
        <w:rPr>
          <w:rFonts w:ascii="Times New Roman" w:eastAsia="Times New Roman" w:hAnsi="Times New Roman" w:cs="Times New Roman"/>
          <w:i/>
          <w:iCs/>
          <w:color w:val="000000"/>
          <w:sz w:val="28"/>
          <w:szCs w:val="28"/>
          <w:lang w:eastAsia="en-GB"/>
        </w:rPr>
        <w:t>The Elena D’Amico</w:t>
      </w:r>
      <w:r w:rsidRPr="00A85300">
        <w:rPr>
          <w:rFonts w:ascii="Times New Roman" w:eastAsia="Times New Roman" w:hAnsi="Times New Roman" w:cs="Times New Roman"/>
          <w:i/>
          <w:color w:val="000000"/>
          <w:sz w:val="28"/>
          <w:szCs w:val="28"/>
          <w:lang w:eastAsia="en-GB"/>
        </w:rPr>
        <w:t xml:space="preserve">, Robert Goff J said (at page 88, right hand column): </w:t>
      </w:r>
      <w:bookmarkEnd w:id="2"/>
    </w:p>
    <w:p w:rsidR="00840A1F" w:rsidRPr="00A85300" w:rsidRDefault="00840A1F" w:rsidP="00840A1F">
      <w:pPr>
        <w:spacing w:beforeAutospacing="1" w:after="0" w:afterAutospacing="1" w:line="240" w:lineRule="auto"/>
        <w:ind w:left="1440"/>
        <w:rPr>
          <w:rFonts w:ascii="Times New Roman" w:eastAsia="Times New Roman" w:hAnsi="Times New Roman" w:cs="Times New Roman"/>
          <w:i/>
          <w:color w:val="000000"/>
          <w:sz w:val="28"/>
          <w:szCs w:val="28"/>
          <w:lang w:eastAsia="en-GB"/>
        </w:rPr>
      </w:pPr>
      <w:r w:rsidRPr="00A85300">
        <w:rPr>
          <w:rFonts w:ascii="Times New Roman" w:eastAsia="Times New Roman" w:hAnsi="Times New Roman" w:cs="Times New Roman"/>
          <w:i/>
          <w:color w:val="000000"/>
          <w:sz w:val="28"/>
          <w:szCs w:val="28"/>
          <w:lang w:eastAsia="en-GB"/>
        </w:rPr>
        <w:t>“[W]hat is alleged to constitute mitigation in law can only have that effect if there is a causative link between the wrong in respect of which damages are claimed and the action or inaction of the plaintiff.”</w:t>
      </w:r>
    </w:p>
    <w:p w:rsidR="00840A1F" w:rsidRPr="00A85300" w:rsidRDefault="00840A1F" w:rsidP="00840A1F">
      <w:pPr>
        <w:numPr>
          <w:ilvl w:val="0"/>
          <w:numId w:val="4"/>
        </w:numPr>
        <w:spacing w:before="100" w:beforeAutospacing="1" w:after="100" w:afterAutospacing="1" w:line="240" w:lineRule="auto"/>
        <w:rPr>
          <w:rFonts w:ascii="Times New Roman" w:eastAsia="Times New Roman" w:hAnsi="Times New Roman" w:cs="Times New Roman"/>
          <w:i/>
          <w:color w:val="000000"/>
          <w:sz w:val="28"/>
          <w:szCs w:val="28"/>
          <w:lang w:eastAsia="en-GB"/>
        </w:rPr>
      </w:pPr>
      <w:bookmarkStart w:id="3" w:name="para89"/>
      <w:r w:rsidRPr="00A85300">
        <w:rPr>
          <w:rFonts w:ascii="Times New Roman" w:eastAsia="Times New Roman" w:hAnsi="Times New Roman" w:cs="Times New Roman"/>
          <w:i/>
          <w:color w:val="000000"/>
          <w:sz w:val="28"/>
          <w:szCs w:val="28"/>
          <w:lang w:eastAsia="en-GB"/>
        </w:rPr>
        <w:t xml:space="preserve">Robert Goff J went on to cite Viscount Haldane LC’s speech in </w:t>
      </w:r>
      <w:r w:rsidRPr="00A85300">
        <w:rPr>
          <w:rFonts w:ascii="Times New Roman" w:eastAsia="Times New Roman" w:hAnsi="Times New Roman" w:cs="Times New Roman"/>
          <w:i/>
          <w:iCs/>
          <w:color w:val="000000"/>
          <w:sz w:val="28"/>
          <w:szCs w:val="28"/>
          <w:lang w:eastAsia="en-GB"/>
        </w:rPr>
        <w:t>British Westinghouse</w:t>
      </w:r>
      <w:r w:rsidRPr="00A85300">
        <w:rPr>
          <w:rFonts w:ascii="Times New Roman" w:eastAsia="Times New Roman" w:hAnsi="Times New Roman" w:cs="Times New Roman"/>
          <w:i/>
          <w:color w:val="000000"/>
          <w:sz w:val="28"/>
          <w:szCs w:val="28"/>
          <w:lang w:eastAsia="en-GB"/>
        </w:rPr>
        <w:t xml:space="preserve">, describing it as a “classic statement of the principle of mitigation”. </w:t>
      </w:r>
      <w:bookmarkEnd w:id="3"/>
    </w:p>
    <w:p w:rsidR="00840A1F" w:rsidRPr="00A85300" w:rsidRDefault="00840A1F" w:rsidP="00840A1F">
      <w:pPr>
        <w:numPr>
          <w:ilvl w:val="0"/>
          <w:numId w:val="5"/>
        </w:numPr>
        <w:spacing w:before="100" w:beforeAutospacing="1" w:after="100" w:afterAutospacing="1" w:line="240" w:lineRule="auto"/>
        <w:rPr>
          <w:rFonts w:ascii="Times New Roman" w:eastAsia="Times New Roman" w:hAnsi="Times New Roman" w:cs="Times New Roman"/>
          <w:i/>
          <w:color w:val="000000"/>
          <w:sz w:val="28"/>
          <w:szCs w:val="28"/>
          <w:lang w:eastAsia="en-GB"/>
        </w:rPr>
      </w:pPr>
      <w:bookmarkStart w:id="4" w:name="para90"/>
      <w:r w:rsidRPr="00A85300">
        <w:rPr>
          <w:rFonts w:ascii="Times New Roman" w:eastAsia="Times New Roman" w:hAnsi="Times New Roman" w:cs="Times New Roman"/>
          <w:i/>
          <w:color w:val="000000"/>
          <w:sz w:val="28"/>
          <w:szCs w:val="28"/>
          <w:lang w:eastAsia="en-GB"/>
        </w:rPr>
        <w:t xml:space="preserve">The operation of this principle can also be seen in cases concerning breach of a covenant to repair contained in a lease (see, for example, </w:t>
      </w:r>
      <w:r w:rsidRPr="00A85300">
        <w:rPr>
          <w:rFonts w:ascii="Times New Roman" w:eastAsia="Times New Roman" w:hAnsi="Times New Roman" w:cs="Times New Roman"/>
          <w:i/>
          <w:color w:val="000000"/>
          <w:sz w:val="28"/>
          <w:szCs w:val="28"/>
          <w:u w:val="single"/>
          <w:lang w:eastAsia="en-GB"/>
        </w:rPr>
        <w:t>Joyner v Weeks</w:t>
      </w:r>
      <w:r w:rsidRPr="00A85300">
        <w:rPr>
          <w:rFonts w:ascii="Times New Roman" w:eastAsia="Times New Roman" w:hAnsi="Times New Roman" w:cs="Times New Roman"/>
          <w:i/>
          <w:color w:val="000000"/>
          <w:sz w:val="28"/>
          <w:szCs w:val="28"/>
          <w:lang w:eastAsia="en-GB"/>
        </w:rPr>
        <w:t xml:space="preserve"> [1891] 2 QB 31 CA and </w:t>
      </w:r>
      <w:proofErr w:type="spellStart"/>
      <w:r w:rsidRPr="00A85300">
        <w:rPr>
          <w:rFonts w:ascii="Times New Roman" w:eastAsia="Times New Roman" w:hAnsi="Times New Roman" w:cs="Times New Roman"/>
          <w:i/>
          <w:color w:val="000000"/>
          <w:sz w:val="28"/>
          <w:szCs w:val="28"/>
          <w:u w:val="single"/>
          <w:lang w:eastAsia="en-GB"/>
        </w:rPr>
        <w:t>Haviland</w:t>
      </w:r>
      <w:proofErr w:type="spellEnd"/>
      <w:r w:rsidRPr="00A85300">
        <w:rPr>
          <w:rFonts w:ascii="Times New Roman" w:eastAsia="Times New Roman" w:hAnsi="Times New Roman" w:cs="Times New Roman"/>
          <w:i/>
          <w:color w:val="000000"/>
          <w:sz w:val="28"/>
          <w:szCs w:val="28"/>
          <w:u w:val="single"/>
          <w:lang w:eastAsia="en-GB"/>
        </w:rPr>
        <w:t xml:space="preserve"> v Long</w:t>
      </w:r>
      <w:r w:rsidRPr="00A85300">
        <w:rPr>
          <w:rFonts w:ascii="Times New Roman" w:eastAsia="Times New Roman" w:hAnsi="Times New Roman" w:cs="Times New Roman"/>
          <w:i/>
          <w:color w:val="000000"/>
          <w:sz w:val="28"/>
          <w:szCs w:val="28"/>
          <w:lang w:eastAsia="en-GB"/>
        </w:rPr>
        <w:t xml:space="preserve"> [1952] 2 QB 80 CA). </w:t>
      </w:r>
      <w:bookmarkEnd w:id="4"/>
    </w:p>
    <w:p w:rsidR="00840A1F" w:rsidRPr="00A85300" w:rsidRDefault="00840A1F" w:rsidP="00840A1F">
      <w:pPr>
        <w:numPr>
          <w:ilvl w:val="0"/>
          <w:numId w:val="6"/>
        </w:numPr>
        <w:spacing w:before="100" w:beforeAutospacing="1" w:after="100" w:afterAutospacing="1" w:line="240" w:lineRule="auto"/>
        <w:rPr>
          <w:rFonts w:ascii="Times New Roman" w:eastAsia="Times New Roman" w:hAnsi="Times New Roman" w:cs="Times New Roman"/>
          <w:i/>
          <w:color w:val="000000"/>
          <w:sz w:val="28"/>
          <w:szCs w:val="28"/>
          <w:lang w:eastAsia="en-GB"/>
        </w:rPr>
      </w:pPr>
      <w:bookmarkStart w:id="5" w:name="para91"/>
      <w:r w:rsidRPr="00A85300">
        <w:rPr>
          <w:rFonts w:ascii="Times New Roman" w:eastAsia="Times New Roman" w:hAnsi="Times New Roman" w:cs="Times New Roman"/>
          <w:i/>
          <w:color w:val="000000"/>
          <w:sz w:val="28"/>
          <w:szCs w:val="28"/>
          <w:lang w:eastAsia="en-GB"/>
        </w:rPr>
        <w:t xml:space="preserve">In our judgment, the authorities to which we have so far referred establish that subsequent events which are not referable in a causative sense to the commission of the tort, that is to say events which, on a true analysis, are collateral to the commission of the tort, or res inter </w:t>
      </w:r>
      <w:proofErr w:type="spellStart"/>
      <w:r w:rsidRPr="00A85300">
        <w:rPr>
          <w:rFonts w:ascii="Times New Roman" w:eastAsia="Times New Roman" w:hAnsi="Times New Roman" w:cs="Times New Roman"/>
          <w:i/>
          <w:color w:val="000000"/>
          <w:sz w:val="28"/>
          <w:szCs w:val="28"/>
          <w:lang w:eastAsia="en-GB"/>
        </w:rPr>
        <w:t>alios</w:t>
      </w:r>
      <w:proofErr w:type="spellEnd"/>
      <w:r w:rsidRPr="00A85300">
        <w:rPr>
          <w:rFonts w:ascii="Times New Roman" w:eastAsia="Times New Roman" w:hAnsi="Times New Roman" w:cs="Times New Roman"/>
          <w:i/>
          <w:color w:val="000000"/>
          <w:sz w:val="28"/>
          <w:szCs w:val="28"/>
          <w:lang w:eastAsia="en-GB"/>
        </w:rPr>
        <w:t xml:space="preserve"> </w:t>
      </w:r>
      <w:proofErr w:type="spellStart"/>
      <w:r w:rsidRPr="00A85300">
        <w:rPr>
          <w:rFonts w:ascii="Times New Roman" w:eastAsia="Times New Roman" w:hAnsi="Times New Roman" w:cs="Times New Roman"/>
          <w:i/>
          <w:color w:val="000000"/>
          <w:sz w:val="28"/>
          <w:szCs w:val="28"/>
          <w:lang w:eastAsia="en-GB"/>
        </w:rPr>
        <w:t>acta</w:t>
      </w:r>
      <w:proofErr w:type="spellEnd"/>
      <w:r w:rsidRPr="00A85300">
        <w:rPr>
          <w:rFonts w:ascii="Times New Roman" w:eastAsia="Times New Roman" w:hAnsi="Times New Roman" w:cs="Times New Roman"/>
          <w:i/>
          <w:color w:val="000000"/>
          <w:sz w:val="28"/>
          <w:szCs w:val="28"/>
          <w:lang w:eastAsia="en-GB"/>
        </w:rPr>
        <w:t xml:space="preserve">, or too remote - we regard these expressions as interchangeable - do not affect the measure of a direct loss suffered when the tort was committed. </w:t>
      </w:r>
      <w:bookmarkEnd w:id="5"/>
    </w:p>
    <w:p w:rsidR="00840A1F" w:rsidRPr="00A85300" w:rsidRDefault="00840A1F" w:rsidP="00840A1F">
      <w:pPr>
        <w:numPr>
          <w:ilvl w:val="0"/>
          <w:numId w:val="7"/>
        </w:numPr>
        <w:spacing w:before="100" w:beforeAutospacing="1" w:after="100" w:afterAutospacing="1" w:line="240" w:lineRule="auto"/>
        <w:rPr>
          <w:rFonts w:ascii="Times New Roman" w:eastAsia="Times New Roman" w:hAnsi="Times New Roman" w:cs="Times New Roman"/>
          <w:i/>
          <w:color w:val="000000"/>
          <w:sz w:val="28"/>
          <w:szCs w:val="28"/>
          <w:lang w:eastAsia="en-GB"/>
        </w:rPr>
      </w:pPr>
      <w:bookmarkStart w:id="6" w:name="para92"/>
      <w:r w:rsidRPr="00A85300">
        <w:rPr>
          <w:rFonts w:ascii="Times New Roman" w:eastAsia="Times New Roman" w:hAnsi="Times New Roman" w:cs="Times New Roman"/>
          <w:i/>
          <w:color w:val="000000"/>
          <w:sz w:val="28"/>
          <w:szCs w:val="28"/>
          <w:lang w:eastAsia="en-GB"/>
        </w:rPr>
        <w:t xml:space="preserve">In the case of potential future losses, on the other hand, the general rule is that to the extent that such a loss is in fact avoided (for whatever reason) it is a loss which is never suffered and which is accordingly irrecoverable for that reason. In </w:t>
      </w:r>
      <w:r w:rsidRPr="00A85300">
        <w:rPr>
          <w:rFonts w:ascii="Times New Roman" w:eastAsia="Times New Roman" w:hAnsi="Times New Roman" w:cs="Times New Roman"/>
          <w:i/>
          <w:iCs/>
          <w:color w:val="000000"/>
          <w:sz w:val="28"/>
          <w:szCs w:val="28"/>
          <w:lang w:eastAsia="en-GB"/>
        </w:rPr>
        <w:t xml:space="preserve">Hunt v Severs </w:t>
      </w:r>
      <w:r w:rsidRPr="00A85300">
        <w:rPr>
          <w:rFonts w:ascii="Times New Roman" w:eastAsia="Times New Roman" w:hAnsi="Times New Roman" w:cs="Times New Roman"/>
          <w:i/>
          <w:color w:val="000000"/>
          <w:sz w:val="28"/>
          <w:szCs w:val="28"/>
          <w:lang w:eastAsia="en-GB"/>
        </w:rPr>
        <w:t xml:space="preserve">Lord Bridge, at page 361F, gave the example of an injured claimant who requires hospital treatment. Lord Bridge said: </w:t>
      </w:r>
      <w:bookmarkEnd w:id="6"/>
    </w:p>
    <w:p w:rsidR="00840A1F" w:rsidRPr="00A85300" w:rsidRDefault="00840A1F" w:rsidP="00840A1F">
      <w:pPr>
        <w:spacing w:beforeAutospacing="1" w:after="0" w:afterAutospacing="1" w:line="240" w:lineRule="auto"/>
        <w:ind w:left="1440"/>
        <w:rPr>
          <w:rFonts w:ascii="Times New Roman" w:eastAsia="Times New Roman" w:hAnsi="Times New Roman" w:cs="Times New Roman"/>
          <w:i/>
          <w:color w:val="000000"/>
          <w:sz w:val="28"/>
          <w:szCs w:val="28"/>
          <w:lang w:eastAsia="en-GB"/>
        </w:rPr>
      </w:pPr>
      <w:r w:rsidRPr="00A85300">
        <w:rPr>
          <w:rFonts w:ascii="Times New Roman" w:eastAsia="Times New Roman" w:hAnsi="Times New Roman" w:cs="Times New Roman"/>
          <w:i/>
          <w:color w:val="000000"/>
          <w:sz w:val="28"/>
          <w:szCs w:val="28"/>
          <w:lang w:eastAsia="en-GB"/>
        </w:rPr>
        <w:t xml:space="preserve">“If an injured plaintiff is treated in hospital as a private patient he is entitled to recover the cost of that treatment. But if he receives free treatment under the National Health Service, his need has been met without cost to him and he cannot claim the cost of the treatment from the </w:t>
      </w:r>
      <w:proofErr w:type="spellStart"/>
      <w:r w:rsidRPr="00A85300">
        <w:rPr>
          <w:rFonts w:ascii="Times New Roman" w:eastAsia="Times New Roman" w:hAnsi="Times New Roman" w:cs="Times New Roman"/>
          <w:i/>
          <w:color w:val="000000"/>
          <w:sz w:val="28"/>
          <w:szCs w:val="28"/>
          <w:lang w:eastAsia="en-GB"/>
        </w:rPr>
        <w:t>tortfeasor</w:t>
      </w:r>
      <w:proofErr w:type="spellEnd"/>
      <w:r w:rsidRPr="00A85300">
        <w:rPr>
          <w:rFonts w:ascii="Times New Roman" w:eastAsia="Times New Roman" w:hAnsi="Times New Roman" w:cs="Times New Roman"/>
          <w:i/>
          <w:color w:val="000000"/>
          <w:sz w:val="28"/>
          <w:szCs w:val="28"/>
          <w:lang w:eastAsia="en-GB"/>
        </w:rPr>
        <w:t>.”</w:t>
      </w:r>
    </w:p>
    <w:p w:rsidR="00840A1F" w:rsidRPr="00A85300" w:rsidRDefault="00840A1F" w:rsidP="00840A1F">
      <w:pPr>
        <w:numPr>
          <w:ilvl w:val="0"/>
          <w:numId w:val="8"/>
        </w:numPr>
        <w:spacing w:before="100" w:beforeAutospacing="1" w:after="100" w:afterAutospacing="1" w:line="240" w:lineRule="auto"/>
        <w:rPr>
          <w:rFonts w:ascii="Times New Roman" w:eastAsia="Times New Roman" w:hAnsi="Times New Roman" w:cs="Times New Roman"/>
          <w:i/>
          <w:color w:val="000000"/>
          <w:sz w:val="28"/>
          <w:szCs w:val="28"/>
          <w:lang w:eastAsia="en-GB"/>
        </w:rPr>
      </w:pPr>
      <w:bookmarkStart w:id="7" w:name="para93"/>
      <w:r w:rsidRPr="00A85300">
        <w:rPr>
          <w:rFonts w:ascii="Times New Roman" w:eastAsia="Times New Roman" w:hAnsi="Times New Roman" w:cs="Times New Roman"/>
          <w:i/>
          <w:color w:val="000000"/>
          <w:sz w:val="28"/>
          <w:szCs w:val="28"/>
          <w:lang w:eastAsia="en-GB"/>
        </w:rPr>
        <w:t xml:space="preserve">We see that as an example of potential future damage, consequent on the tort, which in the event was never suffered. In that respect, it is in our judgment on all fours with the hire charges in </w:t>
      </w:r>
      <w:proofErr w:type="spellStart"/>
      <w:r w:rsidRPr="00A85300">
        <w:rPr>
          <w:rFonts w:ascii="Times New Roman" w:eastAsia="Times New Roman" w:hAnsi="Times New Roman" w:cs="Times New Roman"/>
          <w:i/>
          <w:iCs/>
          <w:color w:val="000000"/>
          <w:sz w:val="28"/>
          <w:szCs w:val="28"/>
          <w:lang w:eastAsia="en-GB"/>
        </w:rPr>
        <w:t>Dimond</w:t>
      </w:r>
      <w:proofErr w:type="spellEnd"/>
      <w:r w:rsidRPr="00A85300">
        <w:rPr>
          <w:rFonts w:ascii="Times New Roman" w:eastAsia="Times New Roman" w:hAnsi="Times New Roman" w:cs="Times New Roman"/>
          <w:i/>
          <w:color w:val="000000"/>
          <w:sz w:val="28"/>
          <w:szCs w:val="28"/>
          <w:lang w:eastAsia="en-GB"/>
        </w:rPr>
        <w:t xml:space="preserve">. </w:t>
      </w:r>
      <w:bookmarkEnd w:id="7"/>
    </w:p>
    <w:p w:rsidR="00840A1F" w:rsidRPr="00A85300" w:rsidRDefault="00840A1F" w:rsidP="00840A1F">
      <w:pPr>
        <w:numPr>
          <w:ilvl w:val="0"/>
          <w:numId w:val="9"/>
        </w:numPr>
        <w:spacing w:before="100" w:beforeAutospacing="1" w:after="100" w:afterAutospacing="1" w:line="240" w:lineRule="auto"/>
        <w:rPr>
          <w:rFonts w:ascii="Times New Roman" w:eastAsia="Times New Roman" w:hAnsi="Times New Roman" w:cs="Times New Roman"/>
          <w:i/>
          <w:color w:val="000000"/>
          <w:sz w:val="28"/>
          <w:szCs w:val="28"/>
          <w:lang w:eastAsia="en-GB"/>
        </w:rPr>
      </w:pPr>
      <w:bookmarkStart w:id="8" w:name="para94"/>
      <w:r w:rsidRPr="00A85300">
        <w:rPr>
          <w:rFonts w:ascii="Times New Roman" w:eastAsia="Times New Roman" w:hAnsi="Times New Roman" w:cs="Times New Roman"/>
          <w:i/>
          <w:color w:val="000000"/>
          <w:sz w:val="28"/>
          <w:szCs w:val="28"/>
          <w:lang w:eastAsia="en-GB"/>
        </w:rPr>
        <w:t xml:space="preserve">There are two well-established exceptions to the general rule that potential future losses are irrecoverable if and to the extent that they are </w:t>
      </w:r>
      <w:r w:rsidRPr="00A85300">
        <w:rPr>
          <w:rFonts w:ascii="Times New Roman" w:eastAsia="Times New Roman" w:hAnsi="Times New Roman" w:cs="Times New Roman"/>
          <w:i/>
          <w:color w:val="000000"/>
          <w:sz w:val="28"/>
          <w:szCs w:val="28"/>
          <w:lang w:eastAsia="en-GB"/>
        </w:rPr>
        <w:lastRenderedPageBreak/>
        <w:t xml:space="preserve">in fact avoided: these exceptions are identified in </w:t>
      </w:r>
      <w:r w:rsidRPr="00A85300">
        <w:rPr>
          <w:rFonts w:ascii="Times New Roman" w:eastAsia="Times New Roman" w:hAnsi="Times New Roman" w:cs="Times New Roman"/>
          <w:i/>
          <w:iCs/>
          <w:color w:val="000000"/>
          <w:sz w:val="28"/>
          <w:szCs w:val="28"/>
          <w:lang w:eastAsia="en-GB"/>
        </w:rPr>
        <w:t xml:space="preserve">Parry v Cleaver </w:t>
      </w:r>
      <w:r w:rsidRPr="00A85300">
        <w:rPr>
          <w:rFonts w:ascii="Times New Roman" w:eastAsia="Times New Roman" w:hAnsi="Times New Roman" w:cs="Times New Roman"/>
          <w:i/>
          <w:color w:val="000000"/>
          <w:sz w:val="28"/>
          <w:szCs w:val="28"/>
          <w:lang w:eastAsia="en-GB"/>
        </w:rPr>
        <w:t xml:space="preserve">and </w:t>
      </w:r>
      <w:r w:rsidRPr="00A85300">
        <w:rPr>
          <w:rFonts w:ascii="Times New Roman" w:eastAsia="Times New Roman" w:hAnsi="Times New Roman" w:cs="Times New Roman"/>
          <w:i/>
          <w:iCs/>
          <w:color w:val="000000"/>
          <w:sz w:val="28"/>
          <w:szCs w:val="28"/>
          <w:lang w:eastAsia="en-GB"/>
        </w:rPr>
        <w:t>Hussain</w:t>
      </w:r>
      <w:r w:rsidRPr="00A85300">
        <w:rPr>
          <w:rFonts w:ascii="Times New Roman" w:eastAsia="Times New Roman" w:hAnsi="Times New Roman" w:cs="Times New Roman"/>
          <w:i/>
          <w:color w:val="000000"/>
          <w:sz w:val="28"/>
          <w:szCs w:val="28"/>
          <w:lang w:eastAsia="en-GB"/>
        </w:rPr>
        <w:t xml:space="preserve">. In the latter case Lord Bridge said (at page 527G): </w:t>
      </w:r>
      <w:bookmarkEnd w:id="8"/>
    </w:p>
    <w:p w:rsidR="00840A1F" w:rsidRPr="00A85300" w:rsidRDefault="00840A1F" w:rsidP="00840A1F">
      <w:pPr>
        <w:spacing w:beforeAutospacing="1" w:after="0" w:afterAutospacing="1" w:line="240" w:lineRule="auto"/>
        <w:ind w:left="1440"/>
        <w:rPr>
          <w:rFonts w:ascii="Times New Roman" w:eastAsia="Times New Roman" w:hAnsi="Times New Roman" w:cs="Times New Roman"/>
          <w:i/>
          <w:color w:val="000000"/>
          <w:sz w:val="28"/>
          <w:szCs w:val="28"/>
          <w:lang w:eastAsia="en-GB"/>
        </w:rPr>
      </w:pPr>
      <w:r w:rsidRPr="00A85300">
        <w:rPr>
          <w:rFonts w:ascii="Times New Roman" w:eastAsia="Times New Roman" w:hAnsi="Times New Roman" w:cs="Times New Roman"/>
          <w:i/>
          <w:color w:val="000000"/>
          <w:sz w:val="28"/>
          <w:szCs w:val="28"/>
          <w:lang w:eastAsia="en-GB"/>
        </w:rPr>
        <w:t xml:space="preserve">“But to the prima facie rule there are two well established exceptions. First, where a plaintiff recovers under an insurance policy for which he has paid the premiums, the insurance moneys are not deductible from damages payable by the </w:t>
      </w:r>
      <w:proofErr w:type="spellStart"/>
      <w:r w:rsidRPr="00A85300">
        <w:rPr>
          <w:rFonts w:ascii="Times New Roman" w:eastAsia="Times New Roman" w:hAnsi="Times New Roman" w:cs="Times New Roman"/>
          <w:i/>
          <w:color w:val="000000"/>
          <w:sz w:val="28"/>
          <w:szCs w:val="28"/>
          <w:lang w:eastAsia="en-GB"/>
        </w:rPr>
        <w:t>tortfeasor</w:t>
      </w:r>
      <w:proofErr w:type="spellEnd"/>
      <w:r w:rsidRPr="00A85300">
        <w:rPr>
          <w:rFonts w:ascii="Times New Roman" w:eastAsia="Times New Roman" w:hAnsi="Times New Roman" w:cs="Times New Roman"/>
          <w:i/>
          <w:color w:val="000000"/>
          <w:sz w:val="28"/>
          <w:szCs w:val="28"/>
          <w:lang w:eastAsia="en-GB"/>
        </w:rPr>
        <w:t xml:space="preserve">: </w:t>
      </w:r>
      <w:proofErr w:type="spellStart"/>
      <w:r w:rsidRPr="00A85300">
        <w:rPr>
          <w:rFonts w:ascii="Times New Roman" w:eastAsia="Times New Roman" w:hAnsi="Times New Roman" w:cs="Times New Roman"/>
          <w:i/>
          <w:iCs/>
          <w:color w:val="000000"/>
          <w:sz w:val="28"/>
          <w:szCs w:val="28"/>
          <w:lang w:eastAsia="en-GB"/>
        </w:rPr>
        <w:t>Bradburn</w:t>
      </w:r>
      <w:proofErr w:type="spellEnd"/>
      <w:r w:rsidRPr="00A85300">
        <w:rPr>
          <w:rFonts w:ascii="Times New Roman" w:eastAsia="Times New Roman" w:hAnsi="Times New Roman" w:cs="Times New Roman"/>
          <w:i/>
          <w:iCs/>
          <w:color w:val="000000"/>
          <w:sz w:val="28"/>
          <w:szCs w:val="28"/>
          <w:lang w:eastAsia="en-GB"/>
        </w:rPr>
        <w:t xml:space="preserve"> v Great Western Railway Co</w:t>
      </w:r>
      <w:r w:rsidRPr="00A85300">
        <w:rPr>
          <w:rFonts w:ascii="Times New Roman" w:eastAsia="Times New Roman" w:hAnsi="Times New Roman" w:cs="Times New Roman"/>
          <w:i/>
          <w:color w:val="000000"/>
          <w:sz w:val="28"/>
          <w:szCs w:val="28"/>
          <w:lang w:eastAsia="en-GB"/>
        </w:rPr>
        <w:t xml:space="preserve"> (1864) LR 10 Ex 1. Secondly, when the plaintiff receives money from the benevolence of third parties prompted by sympathy for his misfortune, as in the case of a beneficiary from a disaster fund, the amount received is again to be disregarded: </w:t>
      </w:r>
      <w:r w:rsidRPr="00A85300">
        <w:rPr>
          <w:rFonts w:ascii="Times New Roman" w:eastAsia="Times New Roman" w:hAnsi="Times New Roman" w:cs="Times New Roman"/>
          <w:i/>
          <w:iCs/>
          <w:color w:val="000000"/>
          <w:sz w:val="28"/>
          <w:szCs w:val="28"/>
          <w:lang w:eastAsia="en-GB"/>
        </w:rPr>
        <w:t xml:space="preserve">Redpath v Belfast and County </w:t>
      </w:r>
      <w:proofErr w:type="gramStart"/>
      <w:r w:rsidRPr="00A85300">
        <w:rPr>
          <w:rFonts w:ascii="Times New Roman" w:eastAsia="Times New Roman" w:hAnsi="Times New Roman" w:cs="Times New Roman"/>
          <w:i/>
          <w:iCs/>
          <w:color w:val="000000"/>
          <w:sz w:val="28"/>
          <w:szCs w:val="28"/>
          <w:lang w:eastAsia="en-GB"/>
        </w:rPr>
        <w:t>Down</w:t>
      </w:r>
      <w:proofErr w:type="gramEnd"/>
      <w:r w:rsidRPr="00A85300">
        <w:rPr>
          <w:rFonts w:ascii="Times New Roman" w:eastAsia="Times New Roman" w:hAnsi="Times New Roman" w:cs="Times New Roman"/>
          <w:i/>
          <w:iCs/>
          <w:color w:val="000000"/>
          <w:sz w:val="28"/>
          <w:szCs w:val="28"/>
          <w:lang w:eastAsia="en-GB"/>
        </w:rPr>
        <w:t xml:space="preserve"> Railway </w:t>
      </w:r>
      <w:r w:rsidRPr="00A85300">
        <w:rPr>
          <w:rFonts w:ascii="Times New Roman" w:eastAsia="Times New Roman" w:hAnsi="Times New Roman" w:cs="Times New Roman"/>
          <w:i/>
          <w:color w:val="000000"/>
          <w:sz w:val="28"/>
          <w:szCs w:val="28"/>
          <w:lang w:eastAsia="en-GB"/>
        </w:rPr>
        <w:t xml:space="preserve">[1967] NI 147. In both these cases there is in one sense double recovery. If the award of damages adequately compensates the plaintiff, as it should, the additional amounts received from the insurer or from third party benevolence may be regarded as a net gain to the plaintiff resulting from his injury. But in both cases the common sense of the exceptions stares one in the face. It may be summed up in the rhetorical question: ‘Why should the </w:t>
      </w:r>
      <w:proofErr w:type="spellStart"/>
      <w:r w:rsidRPr="00A85300">
        <w:rPr>
          <w:rFonts w:ascii="Times New Roman" w:eastAsia="Times New Roman" w:hAnsi="Times New Roman" w:cs="Times New Roman"/>
          <w:i/>
          <w:color w:val="000000"/>
          <w:sz w:val="28"/>
          <w:szCs w:val="28"/>
          <w:lang w:eastAsia="en-GB"/>
        </w:rPr>
        <w:t>tortfeasor</w:t>
      </w:r>
      <w:proofErr w:type="spellEnd"/>
      <w:r w:rsidRPr="00A85300">
        <w:rPr>
          <w:rFonts w:ascii="Times New Roman" w:eastAsia="Times New Roman" w:hAnsi="Times New Roman" w:cs="Times New Roman"/>
          <w:i/>
          <w:color w:val="000000"/>
          <w:sz w:val="28"/>
          <w:szCs w:val="28"/>
          <w:lang w:eastAsia="en-GB"/>
        </w:rPr>
        <w:t xml:space="preserve"> derive any benefit, in the one case, from the premiums which the plaintiff has paid to insure himself against some contingency, however caused, in the other case, from the money provided by the third party with the sole intention of benefiting the injured plaintiff?’”</w:t>
      </w:r>
    </w:p>
    <w:p w:rsidR="00840A1F" w:rsidRPr="00840A1F" w:rsidRDefault="00840A1F" w:rsidP="00840A1F">
      <w:pPr>
        <w:numPr>
          <w:ilvl w:val="0"/>
          <w:numId w:val="10"/>
        </w:numPr>
        <w:spacing w:before="100" w:beforeAutospacing="1" w:after="100" w:afterAutospacing="1" w:line="240" w:lineRule="auto"/>
        <w:rPr>
          <w:rFonts w:ascii="Arial" w:eastAsia="Times New Roman" w:hAnsi="Arial" w:cs="Arial"/>
          <w:color w:val="000000"/>
          <w:sz w:val="20"/>
          <w:szCs w:val="20"/>
          <w:lang w:eastAsia="en-GB"/>
        </w:rPr>
      </w:pPr>
      <w:bookmarkStart w:id="9" w:name="para95"/>
      <w:r w:rsidRPr="00A85300">
        <w:rPr>
          <w:rFonts w:ascii="Times New Roman" w:eastAsia="Times New Roman" w:hAnsi="Times New Roman" w:cs="Times New Roman"/>
          <w:i/>
          <w:color w:val="000000"/>
          <w:sz w:val="28"/>
          <w:szCs w:val="28"/>
          <w:lang w:eastAsia="en-GB"/>
        </w:rPr>
        <w:t xml:space="preserve">However, since in our judgment repair costs are merely the measure of a direct loss, suffered when the tort was committed, and are not to be regarded as falling within the category of potential future losses claimable as special damage, the general rule identified in Lord Bridge’s example in </w:t>
      </w:r>
      <w:r w:rsidRPr="00A85300">
        <w:rPr>
          <w:rFonts w:ascii="Times New Roman" w:eastAsia="Times New Roman" w:hAnsi="Times New Roman" w:cs="Times New Roman"/>
          <w:i/>
          <w:iCs/>
          <w:color w:val="000000"/>
          <w:sz w:val="28"/>
          <w:szCs w:val="28"/>
          <w:lang w:eastAsia="en-GB"/>
        </w:rPr>
        <w:t>Hunt v Severs</w:t>
      </w:r>
      <w:r w:rsidRPr="00A85300">
        <w:rPr>
          <w:rFonts w:ascii="Times New Roman" w:eastAsia="Times New Roman" w:hAnsi="Times New Roman" w:cs="Times New Roman"/>
          <w:i/>
          <w:color w:val="000000"/>
          <w:sz w:val="28"/>
          <w:szCs w:val="28"/>
          <w:lang w:eastAsia="en-GB"/>
        </w:rPr>
        <w:t xml:space="preserve">, and the exceptions to that general rule to which we have just referred, are of no materiality for present purposes. </w:t>
      </w:r>
      <w:bookmarkEnd w:id="9"/>
    </w:p>
    <w:p w:rsidR="00840A1F" w:rsidRPr="00F2290C" w:rsidRDefault="00840A1F" w:rsidP="00D504CA">
      <w:pPr>
        <w:spacing w:line="480" w:lineRule="auto"/>
        <w:rPr>
          <w:rFonts w:ascii="Times New Roman" w:hAnsi="Times New Roman" w:cs="Times New Roman"/>
          <w:sz w:val="28"/>
          <w:szCs w:val="28"/>
        </w:rPr>
      </w:pPr>
    </w:p>
    <w:p w:rsidR="00D504CA" w:rsidRDefault="00A85300" w:rsidP="00D504CA">
      <w:pPr>
        <w:spacing w:line="480" w:lineRule="auto"/>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F0028F">
        <w:rPr>
          <w:rFonts w:ascii="Times New Roman" w:hAnsi="Times New Roman" w:cs="Times New Roman"/>
          <w:sz w:val="28"/>
          <w:szCs w:val="28"/>
        </w:rPr>
        <w:t>For the purposes of the argument noted above, thes</w:t>
      </w:r>
      <w:r w:rsidR="00723A64">
        <w:rPr>
          <w:rFonts w:ascii="Times New Roman" w:hAnsi="Times New Roman" w:cs="Times New Roman"/>
          <w:sz w:val="28"/>
          <w:szCs w:val="28"/>
        </w:rPr>
        <w:t>e passages might be thought to be useful for both sides of the argument: noting that hire charges are not a species of “direct loss”</w:t>
      </w:r>
      <w:r w:rsidR="009D5AA6">
        <w:rPr>
          <w:rFonts w:ascii="Times New Roman" w:hAnsi="Times New Roman" w:cs="Times New Roman"/>
          <w:sz w:val="28"/>
          <w:szCs w:val="28"/>
        </w:rPr>
        <w:t xml:space="preserve"> but rather a future loss, hence indicating that the doctrine of res inter </w:t>
      </w:r>
      <w:proofErr w:type="spellStart"/>
      <w:r w:rsidR="009D5AA6">
        <w:rPr>
          <w:rFonts w:ascii="Times New Roman" w:hAnsi="Times New Roman" w:cs="Times New Roman"/>
          <w:sz w:val="28"/>
          <w:szCs w:val="28"/>
        </w:rPr>
        <w:t>alios</w:t>
      </w:r>
      <w:proofErr w:type="spellEnd"/>
      <w:r w:rsidR="009D5AA6">
        <w:rPr>
          <w:rFonts w:ascii="Times New Roman" w:hAnsi="Times New Roman" w:cs="Times New Roman"/>
          <w:sz w:val="28"/>
          <w:szCs w:val="28"/>
        </w:rPr>
        <w:t xml:space="preserve"> </w:t>
      </w:r>
      <w:proofErr w:type="spellStart"/>
      <w:r w:rsidR="009D5AA6">
        <w:rPr>
          <w:rFonts w:ascii="Times New Roman" w:hAnsi="Times New Roman" w:cs="Times New Roman"/>
          <w:sz w:val="28"/>
          <w:szCs w:val="28"/>
        </w:rPr>
        <w:t>acta</w:t>
      </w:r>
      <w:proofErr w:type="spellEnd"/>
      <w:r w:rsidR="009D5AA6">
        <w:rPr>
          <w:rFonts w:ascii="Times New Roman" w:hAnsi="Times New Roman" w:cs="Times New Roman"/>
          <w:sz w:val="28"/>
          <w:szCs w:val="28"/>
        </w:rPr>
        <w:t xml:space="preserve"> can apply, but only within the familiar limits noted above</w:t>
      </w:r>
      <w:r w:rsidR="00723A64">
        <w:rPr>
          <w:rFonts w:ascii="Times New Roman" w:hAnsi="Times New Roman" w:cs="Times New Roman"/>
          <w:sz w:val="28"/>
          <w:szCs w:val="28"/>
        </w:rPr>
        <w:t xml:space="preserve">. Secondly, noting the application of the principle in </w:t>
      </w:r>
      <w:proofErr w:type="spellStart"/>
      <w:r w:rsidR="00723A64" w:rsidRPr="0049063F">
        <w:rPr>
          <w:rFonts w:ascii="Times New Roman" w:hAnsi="Times New Roman" w:cs="Times New Roman"/>
          <w:b/>
          <w:sz w:val="28"/>
          <w:szCs w:val="28"/>
          <w:u w:val="single"/>
        </w:rPr>
        <w:lastRenderedPageBreak/>
        <w:t>Parry.v.Cleaver</w:t>
      </w:r>
      <w:proofErr w:type="spellEnd"/>
      <w:r w:rsidR="00723A64">
        <w:rPr>
          <w:rFonts w:ascii="Times New Roman" w:hAnsi="Times New Roman" w:cs="Times New Roman"/>
          <w:sz w:val="28"/>
          <w:szCs w:val="28"/>
        </w:rPr>
        <w:t>, to this species, of future loss</w:t>
      </w:r>
      <w:r w:rsidR="009D5AA6">
        <w:rPr>
          <w:rFonts w:ascii="Times New Roman" w:hAnsi="Times New Roman" w:cs="Times New Roman"/>
          <w:sz w:val="28"/>
          <w:szCs w:val="28"/>
        </w:rPr>
        <w:t xml:space="preserve"> it permits claimants to argue that the principle of res inter </w:t>
      </w:r>
      <w:proofErr w:type="spellStart"/>
      <w:proofErr w:type="gramStart"/>
      <w:r w:rsidR="009D5AA6">
        <w:rPr>
          <w:rFonts w:ascii="Times New Roman" w:hAnsi="Times New Roman" w:cs="Times New Roman"/>
          <w:sz w:val="28"/>
          <w:szCs w:val="28"/>
        </w:rPr>
        <w:t>alios</w:t>
      </w:r>
      <w:proofErr w:type="spellEnd"/>
      <w:r w:rsidR="009D5AA6">
        <w:rPr>
          <w:rFonts w:ascii="Times New Roman" w:hAnsi="Times New Roman" w:cs="Times New Roman"/>
          <w:sz w:val="28"/>
          <w:szCs w:val="28"/>
        </w:rPr>
        <w:t xml:space="preserve"> </w:t>
      </w:r>
      <w:proofErr w:type="spellStart"/>
      <w:r w:rsidR="009D5AA6">
        <w:rPr>
          <w:rFonts w:ascii="Times New Roman" w:hAnsi="Times New Roman" w:cs="Times New Roman"/>
          <w:sz w:val="28"/>
          <w:szCs w:val="28"/>
        </w:rPr>
        <w:t>acta</w:t>
      </w:r>
      <w:proofErr w:type="spellEnd"/>
      <w:r w:rsidR="009D5AA6">
        <w:rPr>
          <w:rFonts w:ascii="Times New Roman" w:hAnsi="Times New Roman" w:cs="Times New Roman"/>
          <w:sz w:val="28"/>
          <w:szCs w:val="28"/>
        </w:rPr>
        <w:t xml:space="preserve"> does</w:t>
      </w:r>
      <w:proofErr w:type="gramEnd"/>
      <w:r w:rsidR="009D5AA6">
        <w:rPr>
          <w:rFonts w:ascii="Times New Roman" w:hAnsi="Times New Roman" w:cs="Times New Roman"/>
          <w:sz w:val="28"/>
          <w:szCs w:val="28"/>
        </w:rPr>
        <w:t xml:space="preserve"> apply</w:t>
      </w:r>
      <w:r w:rsidR="00723A64">
        <w:rPr>
          <w:rFonts w:ascii="Times New Roman" w:hAnsi="Times New Roman" w:cs="Times New Roman"/>
          <w:sz w:val="28"/>
          <w:szCs w:val="28"/>
        </w:rPr>
        <w:t>. But that in turn, begs the question of what that principle can be accurately su</w:t>
      </w:r>
      <w:r w:rsidR="00276431">
        <w:rPr>
          <w:rFonts w:ascii="Times New Roman" w:hAnsi="Times New Roman" w:cs="Times New Roman"/>
          <w:sz w:val="28"/>
          <w:szCs w:val="28"/>
        </w:rPr>
        <w:t>mmarised to be</w:t>
      </w:r>
      <w:r w:rsidR="00723A64">
        <w:rPr>
          <w:rFonts w:ascii="Times New Roman" w:hAnsi="Times New Roman" w:cs="Times New Roman"/>
          <w:sz w:val="28"/>
          <w:szCs w:val="28"/>
        </w:rPr>
        <w:t>?</w:t>
      </w:r>
    </w:p>
    <w:p w:rsidR="00A85300" w:rsidRDefault="00A85300" w:rsidP="00D504CA">
      <w:pPr>
        <w:spacing w:line="480" w:lineRule="auto"/>
        <w:rPr>
          <w:rFonts w:ascii="Times New Roman" w:hAnsi="Times New Roman" w:cs="Times New Roman"/>
          <w:sz w:val="28"/>
          <w:szCs w:val="28"/>
        </w:rPr>
      </w:pPr>
    </w:p>
    <w:p w:rsidR="00C66183" w:rsidRDefault="00A85300" w:rsidP="00D504CA">
      <w:pPr>
        <w:spacing w:line="48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proofErr w:type="spellStart"/>
      <w:r w:rsidR="009A75A9" w:rsidRPr="0049063F">
        <w:rPr>
          <w:rFonts w:ascii="Times New Roman" w:hAnsi="Times New Roman" w:cs="Times New Roman"/>
          <w:b/>
          <w:sz w:val="28"/>
          <w:szCs w:val="28"/>
          <w:u w:val="single"/>
        </w:rPr>
        <w:t>Bee.v.Jenson</w:t>
      </w:r>
      <w:proofErr w:type="spellEnd"/>
      <w:r w:rsidR="009A75A9" w:rsidRPr="0049063F">
        <w:rPr>
          <w:rStyle w:val="FootnoteReference"/>
          <w:rFonts w:ascii="Times New Roman" w:hAnsi="Times New Roman" w:cs="Times New Roman"/>
          <w:sz w:val="28"/>
          <w:szCs w:val="28"/>
        </w:rPr>
        <w:footnoteReference w:id="9"/>
      </w:r>
      <w:r w:rsidR="009A75A9">
        <w:rPr>
          <w:rFonts w:ascii="Times New Roman" w:hAnsi="Times New Roman" w:cs="Times New Roman"/>
          <w:sz w:val="28"/>
          <w:szCs w:val="28"/>
        </w:rPr>
        <w:t xml:space="preserve"> is an interesting case, because it concerned both a hire car, provided to a victim, under a pre-existing insurance policy, and issues involving the recovery of the costs of the hire car to the insurer. For our purposes, the decision is significant for this summation of the position at law, regarding insurance </w:t>
      </w:r>
      <w:r w:rsidR="00C66183">
        <w:rPr>
          <w:rFonts w:ascii="Times New Roman" w:hAnsi="Times New Roman" w:cs="Times New Roman"/>
          <w:sz w:val="28"/>
          <w:szCs w:val="28"/>
        </w:rPr>
        <w:t>benefit</w:t>
      </w:r>
      <w:bookmarkStart w:id="10" w:name="para9"/>
      <w:r w:rsidR="00C66183">
        <w:rPr>
          <w:rFonts w:ascii="Times New Roman" w:hAnsi="Times New Roman" w:cs="Times New Roman"/>
          <w:sz w:val="28"/>
          <w:szCs w:val="28"/>
        </w:rPr>
        <w:t>s:</w:t>
      </w:r>
    </w:p>
    <w:p w:rsidR="009A75A9" w:rsidRDefault="009A75A9" w:rsidP="00D74270">
      <w:pPr>
        <w:spacing w:line="240" w:lineRule="auto"/>
        <w:ind w:left="720"/>
        <w:rPr>
          <w:rFonts w:ascii="Times New Roman" w:hAnsi="Times New Roman" w:cs="Times New Roman"/>
          <w:i/>
          <w:sz w:val="28"/>
          <w:szCs w:val="28"/>
        </w:rPr>
      </w:pPr>
      <w:r w:rsidRPr="00A85300">
        <w:rPr>
          <w:rFonts w:ascii="Times New Roman" w:hAnsi="Times New Roman" w:cs="Times New Roman"/>
          <w:i/>
          <w:sz w:val="28"/>
          <w:szCs w:val="28"/>
        </w:rPr>
        <w:t xml:space="preserve">So far in deference to the appellant's skeleton argument, I have referred to Mr Bee and his insurers interchangeably as if they were both making the claim for the recovery of the hire charges. In fact this is inaccurate. In English law the claim is only made and can only be made by Mr Bee, see </w:t>
      </w:r>
      <w:proofErr w:type="spellStart"/>
      <w:r w:rsidRPr="00A85300">
        <w:rPr>
          <w:rFonts w:ascii="Times New Roman" w:hAnsi="Times New Roman" w:cs="Times New Roman"/>
          <w:i/>
          <w:iCs/>
          <w:sz w:val="28"/>
          <w:szCs w:val="28"/>
        </w:rPr>
        <w:t>MacGillivray</w:t>
      </w:r>
      <w:proofErr w:type="spellEnd"/>
      <w:r w:rsidRPr="00A85300">
        <w:rPr>
          <w:rFonts w:ascii="Times New Roman" w:hAnsi="Times New Roman" w:cs="Times New Roman"/>
          <w:i/>
          <w:iCs/>
          <w:sz w:val="28"/>
          <w:szCs w:val="28"/>
        </w:rPr>
        <w:t>,</w:t>
      </w:r>
      <w:r w:rsidRPr="00A85300">
        <w:rPr>
          <w:rFonts w:ascii="Times New Roman" w:hAnsi="Times New Roman" w:cs="Times New Roman"/>
          <w:i/>
          <w:sz w:val="28"/>
          <w:szCs w:val="28"/>
        </w:rPr>
        <w:t xml:space="preserve"> </w:t>
      </w:r>
      <w:r w:rsidRPr="00A85300">
        <w:rPr>
          <w:rFonts w:ascii="Times New Roman" w:hAnsi="Times New Roman" w:cs="Times New Roman"/>
          <w:i/>
          <w:iCs/>
          <w:sz w:val="28"/>
          <w:szCs w:val="28"/>
        </w:rPr>
        <w:t>Insurance Law</w:t>
      </w:r>
      <w:r w:rsidRPr="00A85300">
        <w:rPr>
          <w:rFonts w:ascii="Times New Roman" w:hAnsi="Times New Roman" w:cs="Times New Roman"/>
          <w:i/>
          <w:sz w:val="28"/>
          <w:szCs w:val="28"/>
        </w:rPr>
        <w:t xml:space="preserve"> 10</w:t>
      </w:r>
      <w:r w:rsidRPr="00A85300">
        <w:rPr>
          <w:rFonts w:ascii="Times New Roman" w:hAnsi="Times New Roman" w:cs="Times New Roman"/>
          <w:i/>
          <w:sz w:val="28"/>
          <w:szCs w:val="28"/>
          <w:vertAlign w:val="superscript"/>
        </w:rPr>
        <w:t>th</w:t>
      </w:r>
      <w:r w:rsidRPr="00A85300">
        <w:rPr>
          <w:rFonts w:ascii="Times New Roman" w:hAnsi="Times New Roman" w:cs="Times New Roman"/>
          <w:i/>
          <w:sz w:val="28"/>
          <w:szCs w:val="28"/>
        </w:rPr>
        <w:t xml:space="preserve"> Edition paras. 22-44 to 22-47. His insurance arrangements would normally be said to be irrelevant to the </w:t>
      </w:r>
      <w:proofErr w:type="spellStart"/>
      <w:r w:rsidRPr="00A85300">
        <w:rPr>
          <w:rFonts w:ascii="Times New Roman" w:hAnsi="Times New Roman" w:cs="Times New Roman"/>
          <w:i/>
          <w:sz w:val="28"/>
          <w:szCs w:val="28"/>
        </w:rPr>
        <w:t>tortfeasor's</w:t>
      </w:r>
      <w:proofErr w:type="spellEnd"/>
      <w:r w:rsidRPr="00A85300">
        <w:rPr>
          <w:rFonts w:ascii="Times New Roman" w:hAnsi="Times New Roman" w:cs="Times New Roman"/>
          <w:i/>
          <w:sz w:val="28"/>
          <w:szCs w:val="28"/>
        </w:rPr>
        <w:t xml:space="preserve"> liability. They are as is sometimes said "behind the curtain". The reality is nevertheless that the claim for the hire charges is a subrogated claim brought by Mr Bee for the benefit of his insurers. The insured himself, although the actual claimant, has not himself paid the repair bill for his car nor has he paid the hire charges; nor indeed has he paid the cost of litigating against Mr Jenson but it is no defence for Mr Jenson (or his insurers) to say that Mr Bee, because he has been compensated by his insurers, has himself suffered no loss. Ever since </w:t>
      </w:r>
      <w:proofErr w:type="spellStart"/>
      <w:r w:rsidRPr="00A85300">
        <w:rPr>
          <w:rFonts w:ascii="Times New Roman" w:hAnsi="Times New Roman" w:cs="Times New Roman"/>
          <w:i/>
          <w:sz w:val="28"/>
          <w:szCs w:val="28"/>
          <w:u w:val="single"/>
        </w:rPr>
        <w:t>Bradburn</w:t>
      </w:r>
      <w:proofErr w:type="spellEnd"/>
      <w:r w:rsidRPr="00A85300">
        <w:rPr>
          <w:rFonts w:ascii="Times New Roman" w:hAnsi="Times New Roman" w:cs="Times New Roman"/>
          <w:i/>
          <w:sz w:val="28"/>
          <w:szCs w:val="28"/>
          <w:u w:val="single"/>
        </w:rPr>
        <w:t xml:space="preserve"> v Great Western Railway</w:t>
      </w:r>
      <w:r w:rsidRPr="00A85300">
        <w:rPr>
          <w:rFonts w:ascii="Times New Roman" w:hAnsi="Times New Roman" w:cs="Times New Roman"/>
          <w:i/>
          <w:sz w:val="28"/>
          <w:szCs w:val="28"/>
        </w:rPr>
        <w:t xml:space="preserve"> (1874) LR 10 Ex. 1 defendants have had to accept that a claimant's insurance arrangements are irrelevant and cannot be prayed in aid to reduce their liabilities. A corollary of the rule that only the insured can sue in respect of the loss is that a defendant can only discharge his liability by paying the insured. If, however, the insured has already been indemnified by his insurers, he will hold his </w:t>
      </w:r>
      <w:r w:rsidRPr="00A85300">
        <w:rPr>
          <w:rFonts w:ascii="Times New Roman" w:hAnsi="Times New Roman" w:cs="Times New Roman"/>
          <w:i/>
          <w:sz w:val="28"/>
          <w:szCs w:val="28"/>
        </w:rPr>
        <w:lastRenderedPageBreak/>
        <w:t xml:space="preserve">recovery on trust for his insurers. These provisions of common law are all reflected in Note 6 to Section H of Mr Bee's policy. </w:t>
      </w:r>
      <w:bookmarkEnd w:id="10"/>
    </w:p>
    <w:p w:rsidR="00D74270" w:rsidRPr="00A85300" w:rsidRDefault="00D74270" w:rsidP="00D74270">
      <w:pPr>
        <w:spacing w:line="240" w:lineRule="auto"/>
        <w:ind w:left="720"/>
        <w:rPr>
          <w:rFonts w:ascii="Times New Roman" w:hAnsi="Times New Roman" w:cs="Times New Roman"/>
          <w:i/>
          <w:sz w:val="28"/>
          <w:szCs w:val="28"/>
        </w:rPr>
      </w:pPr>
    </w:p>
    <w:p w:rsidR="009A75A9" w:rsidRPr="009A75A9" w:rsidRDefault="00C66183" w:rsidP="00D504CA">
      <w:pPr>
        <w:spacing w:line="480" w:lineRule="auto"/>
        <w:rPr>
          <w:rFonts w:ascii="Times New Roman" w:hAnsi="Times New Roman" w:cs="Times New Roman"/>
          <w:sz w:val="28"/>
          <w:szCs w:val="28"/>
        </w:rPr>
      </w:pPr>
      <w:r>
        <w:rPr>
          <w:rFonts w:ascii="Times New Roman" w:hAnsi="Times New Roman" w:cs="Times New Roman"/>
          <w:sz w:val="28"/>
          <w:szCs w:val="28"/>
        </w:rPr>
        <w:t xml:space="preserve">It might be thought that this statement is too broad: certainly benefits paid under insurance policies might not be taken into account, to reduce </w:t>
      </w:r>
      <w:r w:rsidR="009714BC">
        <w:rPr>
          <w:rFonts w:ascii="Times New Roman" w:hAnsi="Times New Roman" w:cs="Times New Roman"/>
          <w:sz w:val="28"/>
          <w:szCs w:val="28"/>
        </w:rPr>
        <w:t xml:space="preserve">a </w:t>
      </w:r>
      <w:proofErr w:type="spellStart"/>
      <w:r w:rsidR="009714BC">
        <w:rPr>
          <w:rFonts w:ascii="Times New Roman" w:hAnsi="Times New Roman" w:cs="Times New Roman"/>
          <w:sz w:val="28"/>
          <w:szCs w:val="28"/>
        </w:rPr>
        <w:t>tortfeasor’s</w:t>
      </w:r>
      <w:proofErr w:type="spellEnd"/>
      <w:r w:rsidR="009714BC">
        <w:rPr>
          <w:rFonts w:ascii="Times New Roman" w:hAnsi="Times New Roman" w:cs="Times New Roman"/>
          <w:sz w:val="28"/>
          <w:szCs w:val="28"/>
        </w:rPr>
        <w:t xml:space="preserve"> liability: but that does not mean that insurance arrangements are “behind the curtain” in all respects.</w:t>
      </w:r>
      <w:r w:rsidR="009D5AA6">
        <w:rPr>
          <w:rFonts w:ascii="Times New Roman" w:hAnsi="Times New Roman" w:cs="Times New Roman"/>
          <w:sz w:val="28"/>
          <w:szCs w:val="28"/>
        </w:rPr>
        <w:t xml:space="preserve"> Indeed in that case, the insurance arrangements established what the quantum of subrogated loss was.</w:t>
      </w:r>
    </w:p>
    <w:p w:rsidR="00A4033E" w:rsidRDefault="00A4033E" w:rsidP="00D504CA">
      <w:pPr>
        <w:spacing w:line="480" w:lineRule="auto"/>
        <w:rPr>
          <w:rFonts w:ascii="Times New Roman" w:hAnsi="Times New Roman" w:cs="Times New Roman"/>
          <w:sz w:val="28"/>
          <w:szCs w:val="28"/>
        </w:rPr>
      </w:pPr>
    </w:p>
    <w:p w:rsidR="00BC31F7" w:rsidRDefault="00A4033E" w:rsidP="00D504CA">
      <w:pPr>
        <w:spacing w:line="480" w:lineRule="auto"/>
        <w:rPr>
          <w:rFonts w:ascii="Times New Roman" w:hAnsi="Times New Roman" w:cs="Times New Roman"/>
          <w:sz w:val="28"/>
          <w:szCs w:val="28"/>
        </w:rPr>
      </w:pPr>
      <w:r>
        <w:rPr>
          <w:rFonts w:ascii="Times New Roman" w:hAnsi="Times New Roman" w:cs="Times New Roman"/>
          <w:sz w:val="28"/>
          <w:szCs w:val="28"/>
        </w:rPr>
        <w:t>23.</w:t>
      </w:r>
      <w:r w:rsidR="00BC31F7">
        <w:rPr>
          <w:rFonts w:ascii="Times New Roman" w:hAnsi="Times New Roman" w:cs="Times New Roman"/>
          <w:sz w:val="28"/>
          <w:szCs w:val="28"/>
        </w:rPr>
        <w:tab/>
        <w:t xml:space="preserve">The </w:t>
      </w:r>
      <w:proofErr w:type="spellStart"/>
      <w:r w:rsidR="00BC31F7">
        <w:rPr>
          <w:rFonts w:ascii="Times New Roman" w:hAnsi="Times New Roman" w:cs="Times New Roman"/>
          <w:sz w:val="28"/>
          <w:szCs w:val="28"/>
        </w:rPr>
        <w:t>later</w:t>
      </w:r>
      <w:proofErr w:type="spellEnd"/>
      <w:r w:rsidR="00BC31F7">
        <w:rPr>
          <w:rFonts w:ascii="Times New Roman" w:hAnsi="Times New Roman" w:cs="Times New Roman"/>
          <w:sz w:val="28"/>
          <w:szCs w:val="28"/>
        </w:rPr>
        <w:t xml:space="preserve"> case of </w:t>
      </w:r>
      <w:proofErr w:type="spellStart"/>
      <w:r w:rsidR="00BC31F7" w:rsidRPr="0049063F">
        <w:rPr>
          <w:rFonts w:ascii="Times New Roman" w:hAnsi="Times New Roman" w:cs="Times New Roman"/>
          <w:b/>
          <w:sz w:val="28"/>
          <w:szCs w:val="28"/>
          <w:u w:val="single"/>
        </w:rPr>
        <w:t>Copley.v.Lawn</w:t>
      </w:r>
      <w:proofErr w:type="spellEnd"/>
      <w:r w:rsidR="00BC31F7">
        <w:rPr>
          <w:rStyle w:val="FootnoteReference"/>
          <w:rFonts w:ascii="Times New Roman" w:hAnsi="Times New Roman" w:cs="Times New Roman"/>
          <w:sz w:val="28"/>
          <w:szCs w:val="28"/>
        </w:rPr>
        <w:footnoteReference w:id="10"/>
      </w:r>
      <w:r w:rsidR="00BC31F7">
        <w:rPr>
          <w:rFonts w:ascii="Times New Roman" w:hAnsi="Times New Roman" w:cs="Times New Roman"/>
          <w:sz w:val="28"/>
          <w:szCs w:val="28"/>
        </w:rPr>
        <w:t xml:space="preserve"> is also significant in two respects. First, because Longmore </w:t>
      </w:r>
      <w:proofErr w:type="gramStart"/>
      <w:r w:rsidR="00BC31F7">
        <w:rPr>
          <w:rFonts w:ascii="Times New Roman" w:hAnsi="Times New Roman" w:cs="Times New Roman"/>
          <w:sz w:val="28"/>
          <w:szCs w:val="28"/>
        </w:rPr>
        <w:t>LJ,</w:t>
      </w:r>
      <w:proofErr w:type="gramEnd"/>
      <w:r w:rsidR="00BC31F7">
        <w:rPr>
          <w:rFonts w:ascii="Times New Roman" w:hAnsi="Times New Roman" w:cs="Times New Roman"/>
          <w:sz w:val="28"/>
          <w:szCs w:val="28"/>
        </w:rPr>
        <w:t xml:space="preserve"> plainly did not agree with the distinction between past and future loss, though his comments on this consideration were arguably obiter dicta at paragraph 31:</w:t>
      </w:r>
    </w:p>
    <w:p w:rsidR="00BC31F7" w:rsidRPr="00A4033E" w:rsidRDefault="00BC31F7" w:rsidP="00D74270">
      <w:pPr>
        <w:spacing w:line="240" w:lineRule="auto"/>
        <w:ind w:left="720"/>
        <w:rPr>
          <w:rFonts w:ascii="Times New Roman" w:hAnsi="Times New Roman" w:cs="Times New Roman"/>
          <w:i/>
          <w:sz w:val="28"/>
          <w:szCs w:val="28"/>
        </w:rPr>
      </w:pPr>
      <w:bookmarkStart w:id="11" w:name="para31"/>
      <w:r w:rsidRPr="00A4033E">
        <w:rPr>
          <w:rFonts w:ascii="Times New Roman" w:hAnsi="Times New Roman" w:cs="Times New Roman"/>
          <w:i/>
          <w:sz w:val="28"/>
          <w:szCs w:val="28"/>
        </w:rPr>
        <w:t xml:space="preserve">Judge </w:t>
      </w:r>
      <w:proofErr w:type="spellStart"/>
      <w:r w:rsidRPr="00A4033E">
        <w:rPr>
          <w:rFonts w:ascii="Times New Roman" w:hAnsi="Times New Roman" w:cs="Times New Roman"/>
          <w:i/>
          <w:sz w:val="28"/>
          <w:szCs w:val="28"/>
        </w:rPr>
        <w:t>Langan</w:t>
      </w:r>
      <w:proofErr w:type="spellEnd"/>
      <w:r w:rsidRPr="00A4033E">
        <w:rPr>
          <w:rFonts w:ascii="Times New Roman" w:hAnsi="Times New Roman" w:cs="Times New Roman"/>
          <w:i/>
          <w:sz w:val="28"/>
          <w:szCs w:val="28"/>
        </w:rPr>
        <w:t xml:space="preserve"> thought that offers in kind or, as he called them, offers of "</w:t>
      </w:r>
      <w:proofErr w:type="spellStart"/>
      <w:r w:rsidRPr="00A4033E">
        <w:rPr>
          <w:rFonts w:ascii="Times New Roman" w:hAnsi="Times New Roman" w:cs="Times New Roman"/>
          <w:i/>
          <w:sz w:val="28"/>
          <w:szCs w:val="28"/>
        </w:rPr>
        <w:t>restitutio</w:t>
      </w:r>
      <w:proofErr w:type="spellEnd"/>
      <w:r w:rsidRPr="00A4033E">
        <w:rPr>
          <w:rFonts w:ascii="Times New Roman" w:hAnsi="Times New Roman" w:cs="Times New Roman"/>
          <w:i/>
          <w:sz w:val="28"/>
          <w:szCs w:val="28"/>
        </w:rPr>
        <w:t xml:space="preserve"> in </w:t>
      </w:r>
      <w:proofErr w:type="spellStart"/>
      <w:r w:rsidRPr="00A4033E">
        <w:rPr>
          <w:rFonts w:ascii="Times New Roman" w:hAnsi="Times New Roman" w:cs="Times New Roman"/>
          <w:i/>
          <w:sz w:val="28"/>
          <w:szCs w:val="28"/>
        </w:rPr>
        <w:t>integrum</w:t>
      </w:r>
      <w:proofErr w:type="spellEnd"/>
      <w:r w:rsidRPr="00A4033E">
        <w:rPr>
          <w:rFonts w:ascii="Times New Roman" w:hAnsi="Times New Roman" w:cs="Times New Roman"/>
          <w:i/>
          <w:sz w:val="28"/>
          <w:szCs w:val="28"/>
        </w:rPr>
        <w:t xml:space="preserve">" </w:t>
      </w:r>
      <w:proofErr w:type="gramStart"/>
      <w:r w:rsidRPr="00A4033E">
        <w:rPr>
          <w:rFonts w:ascii="Times New Roman" w:hAnsi="Times New Roman" w:cs="Times New Roman"/>
          <w:i/>
          <w:sz w:val="28"/>
          <w:szCs w:val="28"/>
        </w:rPr>
        <w:t>were</w:t>
      </w:r>
      <w:proofErr w:type="gramEnd"/>
      <w:r w:rsidRPr="00A4033E">
        <w:rPr>
          <w:rFonts w:ascii="Times New Roman" w:hAnsi="Times New Roman" w:cs="Times New Roman"/>
          <w:i/>
          <w:sz w:val="28"/>
          <w:szCs w:val="28"/>
        </w:rPr>
        <w:t xml:space="preserve"> different from cash offers. But, as I have sought to show with the assistance of </w:t>
      </w:r>
      <w:proofErr w:type="spellStart"/>
      <w:r w:rsidRPr="00A4033E">
        <w:rPr>
          <w:rFonts w:ascii="Times New Roman" w:hAnsi="Times New Roman" w:cs="Times New Roman"/>
          <w:i/>
          <w:sz w:val="28"/>
          <w:szCs w:val="28"/>
          <w:u w:val="single"/>
        </w:rPr>
        <w:t>Strutt</w:t>
      </w:r>
      <w:proofErr w:type="spellEnd"/>
      <w:r w:rsidRPr="00A4033E">
        <w:rPr>
          <w:rFonts w:ascii="Times New Roman" w:hAnsi="Times New Roman" w:cs="Times New Roman"/>
          <w:i/>
          <w:sz w:val="28"/>
          <w:szCs w:val="28"/>
          <w:u w:val="single"/>
        </w:rPr>
        <w:t xml:space="preserve"> v </w:t>
      </w:r>
      <w:proofErr w:type="spellStart"/>
      <w:r w:rsidRPr="00A4033E">
        <w:rPr>
          <w:rFonts w:ascii="Times New Roman" w:hAnsi="Times New Roman" w:cs="Times New Roman"/>
          <w:i/>
          <w:sz w:val="28"/>
          <w:szCs w:val="28"/>
          <w:u w:val="single"/>
        </w:rPr>
        <w:t>Whitnell</w:t>
      </w:r>
      <w:proofErr w:type="spellEnd"/>
      <w:r w:rsidRPr="00A4033E">
        <w:rPr>
          <w:rFonts w:ascii="Times New Roman" w:hAnsi="Times New Roman" w:cs="Times New Roman"/>
          <w:i/>
          <w:sz w:val="28"/>
          <w:szCs w:val="28"/>
        </w:rPr>
        <w:t xml:space="preserve">, it would be odd if that were so. Mr Walker sought to support this distinction by drawing a further distinction between cases where loss had already been incurred (when as I understood him he would accept that it would be illogical to draw a distinction between offers in cash and offers to restore the original position) and cases where the loss was only to be incurred in the future (when such a distinction would be appropriate). Quite apart from the unattractive artificiality of this double distinction, it seems to me to fall down as a matter of law. The loss of use (although prospective) was a genuine loss at the time of the accident. The cause of action for loss of use accrued then, although it would no doubt be correct to say that any claim was not then quantifiable, see </w:t>
      </w:r>
      <w:proofErr w:type="spellStart"/>
      <w:r w:rsidRPr="00A4033E">
        <w:rPr>
          <w:rFonts w:ascii="Times New Roman" w:hAnsi="Times New Roman" w:cs="Times New Roman"/>
          <w:i/>
          <w:sz w:val="28"/>
          <w:szCs w:val="28"/>
          <w:u w:val="single"/>
        </w:rPr>
        <w:t>Dimond</w:t>
      </w:r>
      <w:proofErr w:type="spellEnd"/>
      <w:r w:rsidRPr="00A4033E">
        <w:rPr>
          <w:rFonts w:ascii="Times New Roman" w:hAnsi="Times New Roman" w:cs="Times New Roman"/>
          <w:i/>
          <w:sz w:val="28"/>
          <w:szCs w:val="28"/>
          <w:u w:val="single"/>
        </w:rPr>
        <w:t xml:space="preserve"> v Lovell, supra</w:t>
      </w:r>
      <w:r w:rsidRPr="00A4033E">
        <w:rPr>
          <w:rFonts w:ascii="Times New Roman" w:hAnsi="Times New Roman" w:cs="Times New Roman"/>
          <w:i/>
          <w:sz w:val="28"/>
          <w:szCs w:val="28"/>
        </w:rPr>
        <w:t xml:space="preserve">, p 406 G-H and </w:t>
      </w:r>
      <w:r w:rsidRPr="00A4033E">
        <w:rPr>
          <w:rFonts w:ascii="Times New Roman" w:hAnsi="Times New Roman" w:cs="Times New Roman"/>
          <w:i/>
          <w:sz w:val="28"/>
          <w:szCs w:val="28"/>
          <w:u w:val="single"/>
        </w:rPr>
        <w:t>Bee v Jenson</w:t>
      </w:r>
      <w:r w:rsidRPr="00A4033E">
        <w:rPr>
          <w:rFonts w:ascii="Times New Roman" w:hAnsi="Times New Roman" w:cs="Times New Roman"/>
          <w:i/>
          <w:sz w:val="28"/>
          <w:szCs w:val="28"/>
        </w:rPr>
        <w:t xml:space="preserve"> [2007] 4 A ER 791, para 15. Moreover in Mrs Copley's </w:t>
      </w:r>
      <w:r w:rsidRPr="00A4033E">
        <w:rPr>
          <w:rFonts w:ascii="Times New Roman" w:hAnsi="Times New Roman" w:cs="Times New Roman"/>
          <w:i/>
          <w:sz w:val="28"/>
          <w:szCs w:val="28"/>
        </w:rPr>
        <w:lastRenderedPageBreak/>
        <w:t xml:space="preserve">case her car was already under repair and she had already made the agreement with Helphire when she received KGM's offer, so that on any view her loss had already begun to be incurred. In these circumstances Mr Walker's attempt to support Judge </w:t>
      </w:r>
      <w:proofErr w:type="spellStart"/>
      <w:r w:rsidRPr="00A4033E">
        <w:rPr>
          <w:rFonts w:ascii="Times New Roman" w:hAnsi="Times New Roman" w:cs="Times New Roman"/>
          <w:i/>
          <w:sz w:val="28"/>
          <w:szCs w:val="28"/>
        </w:rPr>
        <w:t>Langan's</w:t>
      </w:r>
      <w:proofErr w:type="spellEnd"/>
      <w:r w:rsidRPr="00A4033E">
        <w:rPr>
          <w:rFonts w:ascii="Times New Roman" w:hAnsi="Times New Roman" w:cs="Times New Roman"/>
          <w:i/>
          <w:sz w:val="28"/>
          <w:szCs w:val="28"/>
        </w:rPr>
        <w:t xml:space="preserve"> distinction between offers in cash and offers of restitution is misconceived.</w:t>
      </w:r>
      <w:bookmarkEnd w:id="11"/>
    </w:p>
    <w:p w:rsidR="00A4033E" w:rsidRDefault="00A4033E" w:rsidP="00D504CA">
      <w:pPr>
        <w:spacing w:line="480" w:lineRule="auto"/>
        <w:rPr>
          <w:rFonts w:ascii="Times New Roman" w:hAnsi="Times New Roman" w:cs="Times New Roman"/>
          <w:sz w:val="28"/>
          <w:szCs w:val="28"/>
        </w:rPr>
      </w:pPr>
    </w:p>
    <w:p w:rsidR="00BC31F7" w:rsidRDefault="00A4033E" w:rsidP="00D504CA">
      <w:pPr>
        <w:spacing w:line="480" w:lineRule="auto"/>
        <w:rPr>
          <w:rFonts w:ascii="Times New Roman" w:hAnsi="Times New Roman" w:cs="Times New Roman"/>
          <w:sz w:val="28"/>
          <w:szCs w:val="28"/>
        </w:rPr>
      </w:pPr>
      <w:r>
        <w:rPr>
          <w:rFonts w:ascii="Times New Roman" w:hAnsi="Times New Roman" w:cs="Times New Roman"/>
          <w:sz w:val="28"/>
          <w:szCs w:val="28"/>
        </w:rPr>
        <w:t>24.</w:t>
      </w:r>
      <w:r w:rsidR="007B0610">
        <w:rPr>
          <w:rFonts w:ascii="Times New Roman" w:hAnsi="Times New Roman" w:cs="Times New Roman"/>
          <w:sz w:val="28"/>
          <w:szCs w:val="28"/>
        </w:rPr>
        <w:tab/>
        <w:t>Secondly, t</w:t>
      </w:r>
      <w:r w:rsidR="00BC31F7" w:rsidRPr="00BC31F7">
        <w:rPr>
          <w:rFonts w:ascii="Times New Roman" w:hAnsi="Times New Roman" w:cs="Times New Roman"/>
          <w:sz w:val="28"/>
          <w:szCs w:val="28"/>
        </w:rPr>
        <w:t xml:space="preserve">he case is perhaps more significant, </w:t>
      </w:r>
      <w:r w:rsidR="00BC31F7">
        <w:rPr>
          <w:rFonts w:ascii="Times New Roman" w:hAnsi="Times New Roman" w:cs="Times New Roman"/>
          <w:sz w:val="28"/>
          <w:szCs w:val="28"/>
        </w:rPr>
        <w:t>for the approach taken to the role or existence of insurers and their significance for exploring questions of mitigation of loss. In particular, it was noted that in the context of that case (offers by insurance companies to provide substitute cars) it was right to pierce the veil, and take into account the existence of insurance arrangements:</w:t>
      </w:r>
    </w:p>
    <w:p w:rsidR="00BC31F7" w:rsidRPr="00A4033E" w:rsidRDefault="00BC31F7" w:rsidP="00BC31F7">
      <w:pPr>
        <w:numPr>
          <w:ilvl w:val="0"/>
          <w:numId w:val="11"/>
        </w:numPr>
        <w:spacing w:before="100" w:beforeAutospacing="1" w:after="100" w:afterAutospacing="1" w:line="240" w:lineRule="auto"/>
        <w:rPr>
          <w:rFonts w:ascii="Times New Roman" w:eastAsia="Times New Roman" w:hAnsi="Times New Roman" w:cs="Times New Roman"/>
          <w:i/>
          <w:sz w:val="28"/>
          <w:szCs w:val="28"/>
          <w:lang w:eastAsia="en-GB"/>
        </w:rPr>
      </w:pPr>
      <w:bookmarkStart w:id="12" w:name="para12"/>
      <w:r w:rsidRPr="00A4033E">
        <w:rPr>
          <w:rFonts w:ascii="Times New Roman" w:eastAsia="Times New Roman" w:hAnsi="Times New Roman" w:cs="Times New Roman"/>
          <w:i/>
          <w:sz w:val="28"/>
          <w:szCs w:val="28"/>
          <w:lang w:eastAsia="en-GB"/>
        </w:rPr>
        <w:t xml:space="preserve">At this stage it may become important to decide the extent to which (if at all) it is right to take account of the fact that both parties are insured. The traditional English view is that insurance is left out of account in ascertaining the parties' rights. That is why, although these appeals are in truth disputes between insurers the formal position is that it is only the insureds who are parties to the actions before the courts. </w:t>
      </w:r>
      <w:bookmarkEnd w:id="12"/>
    </w:p>
    <w:p w:rsidR="00BC31F7" w:rsidRPr="00BC31F7" w:rsidRDefault="00BC31F7" w:rsidP="00BC31F7">
      <w:pPr>
        <w:numPr>
          <w:ilvl w:val="0"/>
          <w:numId w:val="12"/>
        </w:numPr>
        <w:spacing w:before="100" w:beforeAutospacing="1" w:after="100" w:afterAutospacing="1" w:line="240" w:lineRule="auto"/>
        <w:rPr>
          <w:rFonts w:ascii="Times New Roman" w:eastAsia="Times New Roman" w:hAnsi="Times New Roman" w:cs="Times New Roman"/>
          <w:i/>
          <w:sz w:val="28"/>
          <w:szCs w:val="28"/>
          <w:lang w:eastAsia="en-GB"/>
        </w:rPr>
      </w:pPr>
      <w:bookmarkStart w:id="13" w:name="para13"/>
      <w:r w:rsidRPr="00BC31F7">
        <w:rPr>
          <w:rFonts w:ascii="Times New Roman" w:eastAsia="Times New Roman" w:hAnsi="Times New Roman" w:cs="Times New Roman"/>
          <w:i/>
          <w:sz w:val="28"/>
          <w:szCs w:val="28"/>
          <w:lang w:eastAsia="en-GB"/>
        </w:rPr>
        <w:t xml:space="preserve">On the traditional view of the matter, one would look only at Mrs Copley's and Captain </w:t>
      </w:r>
      <w:proofErr w:type="spellStart"/>
      <w:r w:rsidRPr="00BC31F7">
        <w:rPr>
          <w:rFonts w:ascii="Times New Roman" w:eastAsia="Times New Roman" w:hAnsi="Times New Roman" w:cs="Times New Roman"/>
          <w:i/>
          <w:sz w:val="28"/>
          <w:szCs w:val="28"/>
          <w:lang w:eastAsia="en-GB"/>
        </w:rPr>
        <w:t>Maden's</w:t>
      </w:r>
      <w:proofErr w:type="spellEnd"/>
      <w:r w:rsidRPr="00BC31F7">
        <w:rPr>
          <w:rFonts w:ascii="Times New Roman" w:eastAsia="Times New Roman" w:hAnsi="Times New Roman" w:cs="Times New Roman"/>
          <w:i/>
          <w:sz w:val="28"/>
          <w:szCs w:val="28"/>
          <w:lang w:eastAsia="en-GB"/>
        </w:rPr>
        <w:t xml:space="preserve"> personal position. One would ask whether Mrs Copley acted reasonably when on 28</w:t>
      </w:r>
      <w:r w:rsidRPr="00BC31F7">
        <w:rPr>
          <w:rFonts w:ascii="Times New Roman" w:eastAsia="Times New Roman" w:hAnsi="Times New Roman" w:cs="Times New Roman"/>
          <w:i/>
          <w:sz w:val="28"/>
          <w:szCs w:val="28"/>
          <w:vertAlign w:val="superscript"/>
          <w:lang w:eastAsia="en-GB"/>
        </w:rPr>
        <w:t>th</w:t>
      </w:r>
      <w:r w:rsidRPr="00BC31F7">
        <w:rPr>
          <w:rFonts w:ascii="Times New Roman" w:eastAsia="Times New Roman" w:hAnsi="Times New Roman" w:cs="Times New Roman"/>
          <w:i/>
          <w:sz w:val="28"/>
          <w:szCs w:val="28"/>
          <w:lang w:eastAsia="en-GB"/>
        </w:rPr>
        <w:t xml:space="preserve"> November she received KGM's letter of 24</w:t>
      </w:r>
      <w:r w:rsidRPr="00BC31F7">
        <w:rPr>
          <w:rFonts w:ascii="Times New Roman" w:eastAsia="Times New Roman" w:hAnsi="Times New Roman" w:cs="Times New Roman"/>
          <w:i/>
          <w:sz w:val="28"/>
          <w:szCs w:val="28"/>
          <w:vertAlign w:val="superscript"/>
          <w:lang w:eastAsia="en-GB"/>
        </w:rPr>
        <w:t>th</w:t>
      </w:r>
      <w:r w:rsidRPr="00BC31F7">
        <w:rPr>
          <w:rFonts w:ascii="Times New Roman" w:eastAsia="Times New Roman" w:hAnsi="Times New Roman" w:cs="Times New Roman"/>
          <w:i/>
          <w:sz w:val="28"/>
          <w:szCs w:val="28"/>
          <w:lang w:eastAsia="en-GB"/>
        </w:rPr>
        <w:t xml:space="preserve"> November. She (as anyone else would) passed it immediately to her solicitors and left them to deal with it. On no view could she personally be said to have acted unreasonably in doing as she did and awaiting their advice. The fact that that advice never came was not the fault of Mrs Copley. Deputy District Judge Reed held that Mrs Copley should, on receipt on KGM's letter, have accepted KGM's offer and cancelled the agreement she already had with Helphire. If one is looking at the matter solely from Mrs Copley's view, I can only disagree. It is positively unreasonable to expect Mrs Copley to take the initiative, without advice, of cancelling an agreement she has already made just so that she can get a different "free" car from the "free" car she already has. It may well be that the deputy district judge and Judge </w:t>
      </w:r>
      <w:proofErr w:type="spellStart"/>
      <w:r w:rsidRPr="00BC31F7">
        <w:rPr>
          <w:rFonts w:ascii="Times New Roman" w:eastAsia="Times New Roman" w:hAnsi="Times New Roman" w:cs="Times New Roman"/>
          <w:i/>
          <w:sz w:val="28"/>
          <w:szCs w:val="28"/>
          <w:lang w:eastAsia="en-GB"/>
        </w:rPr>
        <w:t>Langan</w:t>
      </w:r>
      <w:proofErr w:type="spellEnd"/>
      <w:r w:rsidRPr="00BC31F7">
        <w:rPr>
          <w:rFonts w:ascii="Times New Roman" w:eastAsia="Times New Roman" w:hAnsi="Times New Roman" w:cs="Times New Roman"/>
          <w:i/>
          <w:sz w:val="28"/>
          <w:szCs w:val="28"/>
          <w:lang w:eastAsia="en-GB"/>
        </w:rPr>
        <w:t xml:space="preserve"> were effectively conflating the position of Mrs Copley and her solicitors and deciding that Mrs Copley's solicitors should have advised her to take the </w:t>
      </w:r>
      <w:r w:rsidRPr="00BC31F7">
        <w:rPr>
          <w:rFonts w:ascii="Times New Roman" w:eastAsia="Times New Roman" w:hAnsi="Times New Roman" w:cs="Times New Roman"/>
          <w:i/>
          <w:sz w:val="28"/>
          <w:szCs w:val="28"/>
          <w:lang w:eastAsia="en-GB"/>
        </w:rPr>
        <w:lastRenderedPageBreak/>
        <w:t xml:space="preserve">defendant's offer of a free replacement car and the question whether it is right to look at it in that way will have to be addressed. </w:t>
      </w:r>
      <w:bookmarkEnd w:id="13"/>
    </w:p>
    <w:p w:rsidR="00BC31F7" w:rsidRPr="00BC31F7" w:rsidRDefault="00BC31F7" w:rsidP="00BC31F7">
      <w:pPr>
        <w:numPr>
          <w:ilvl w:val="0"/>
          <w:numId w:val="13"/>
        </w:numPr>
        <w:spacing w:before="100" w:beforeAutospacing="1" w:after="100" w:afterAutospacing="1" w:line="240" w:lineRule="auto"/>
        <w:rPr>
          <w:rFonts w:ascii="Times New Roman" w:eastAsia="Times New Roman" w:hAnsi="Times New Roman" w:cs="Times New Roman"/>
          <w:i/>
          <w:sz w:val="28"/>
          <w:szCs w:val="28"/>
          <w:lang w:eastAsia="en-GB"/>
        </w:rPr>
      </w:pPr>
      <w:bookmarkStart w:id="14" w:name="para14"/>
      <w:r w:rsidRPr="00BC31F7">
        <w:rPr>
          <w:rFonts w:ascii="Times New Roman" w:eastAsia="Times New Roman" w:hAnsi="Times New Roman" w:cs="Times New Roman"/>
          <w:i/>
          <w:sz w:val="28"/>
          <w:szCs w:val="28"/>
          <w:lang w:eastAsia="en-GB"/>
        </w:rPr>
        <w:t xml:space="preserve">Captain </w:t>
      </w:r>
      <w:proofErr w:type="spellStart"/>
      <w:r w:rsidRPr="00BC31F7">
        <w:rPr>
          <w:rFonts w:ascii="Times New Roman" w:eastAsia="Times New Roman" w:hAnsi="Times New Roman" w:cs="Times New Roman"/>
          <w:i/>
          <w:sz w:val="28"/>
          <w:szCs w:val="28"/>
          <w:lang w:eastAsia="en-GB"/>
        </w:rPr>
        <w:t>Maden's</w:t>
      </w:r>
      <w:proofErr w:type="spellEnd"/>
      <w:r w:rsidRPr="00BC31F7">
        <w:rPr>
          <w:rFonts w:ascii="Times New Roman" w:eastAsia="Times New Roman" w:hAnsi="Times New Roman" w:cs="Times New Roman"/>
          <w:i/>
          <w:sz w:val="28"/>
          <w:szCs w:val="28"/>
          <w:lang w:eastAsia="en-GB"/>
        </w:rPr>
        <w:t xml:space="preserve"> position is somewhat different because District Judge Flanagan's finding was that he ignored KGM's letter. Moreover, when he came to sign the Helphire agreement forms on 18</w:t>
      </w:r>
      <w:r w:rsidRPr="00BC31F7">
        <w:rPr>
          <w:rFonts w:ascii="Times New Roman" w:eastAsia="Times New Roman" w:hAnsi="Times New Roman" w:cs="Times New Roman"/>
          <w:i/>
          <w:sz w:val="28"/>
          <w:szCs w:val="28"/>
          <w:vertAlign w:val="superscript"/>
          <w:lang w:eastAsia="en-GB"/>
        </w:rPr>
        <w:t>th</w:t>
      </w:r>
      <w:r w:rsidRPr="00BC31F7">
        <w:rPr>
          <w:rFonts w:ascii="Times New Roman" w:eastAsia="Times New Roman" w:hAnsi="Times New Roman" w:cs="Times New Roman"/>
          <w:i/>
          <w:sz w:val="28"/>
          <w:szCs w:val="28"/>
          <w:lang w:eastAsia="en-GB"/>
        </w:rPr>
        <w:t xml:space="preserve"> August he omitted to tick a box in which he was specifically asked if he had been offered a replacement car by the defendant or his insurers. The District Judge then held that Captain </w:t>
      </w:r>
      <w:proofErr w:type="spellStart"/>
      <w:r w:rsidRPr="00BC31F7">
        <w:rPr>
          <w:rFonts w:ascii="Times New Roman" w:eastAsia="Times New Roman" w:hAnsi="Times New Roman" w:cs="Times New Roman"/>
          <w:i/>
          <w:sz w:val="28"/>
          <w:szCs w:val="28"/>
          <w:lang w:eastAsia="en-GB"/>
        </w:rPr>
        <w:t>Maden</w:t>
      </w:r>
      <w:proofErr w:type="spellEnd"/>
      <w:r w:rsidRPr="00BC31F7">
        <w:rPr>
          <w:rFonts w:ascii="Times New Roman" w:eastAsia="Times New Roman" w:hAnsi="Times New Roman" w:cs="Times New Roman"/>
          <w:i/>
          <w:sz w:val="28"/>
          <w:szCs w:val="28"/>
          <w:lang w:eastAsia="en-GB"/>
        </w:rPr>
        <w:t xml:space="preserve"> ought not to have ignored the KGM offer but should have picked up the telephone to KGM and asked what car was available and when it would be available. Significantly the judge did not hold that Captain </w:t>
      </w:r>
      <w:proofErr w:type="spellStart"/>
      <w:r w:rsidRPr="00BC31F7">
        <w:rPr>
          <w:rFonts w:ascii="Times New Roman" w:eastAsia="Times New Roman" w:hAnsi="Times New Roman" w:cs="Times New Roman"/>
          <w:i/>
          <w:sz w:val="28"/>
          <w:szCs w:val="28"/>
          <w:lang w:eastAsia="en-GB"/>
        </w:rPr>
        <w:t>Maden</w:t>
      </w:r>
      <w:proofErr w:type="spellEnd"/>
      <w:r w:rsidRPr="00BC31F7">
        <w:rPr>
          <w:rFonts w:ascii="Times New Roman" w:eastAsia="Times New Roman" w:hAnsi="Times New Roman" w:cs="Times New Roman"/>
          <w:i/>
          <w:sz w:val="28"/>
          <w:szCs w:val="28"/>
          <w:lang w:eastAsia="en-GB"/>
        </w:rPr>
        <w:t xml:space="preserve"> should have at once accepted the offer. But he said that he should have "actioned the offer that was put to him". I would not myself have come to that conclusion; why should Captain </w:t>
      </w:r>
      <w:proofErr w:type="spellStart"/>
      <w:r w:rsidRPr="00BC31F7">
        <w:rPr>
          <w:rFonts w:ascii="Times New Roman" w:eastAsia="Times New Roman" w:hAnsi="Times New Roman" w:cs="Times New Roman"/>
          <w:i/>
          <w:sz w:val="28"/>
          <w:szCs w:val="28"/>
          <w:lang w:eastAsia="en-GB"/>
        </w:rPr>
        <w:t>Maden</w:t>
      </w:r>
      <w:proofErr w:type="spellEnd"/>
      <w:r w:rsidRPr="00BC31F7">
        <w:rPr>
          <w:rFonts w:ascii="Times New Roman" w:eastAsia="Times New Roman" w:hAnsi="Times New Roman" w:cs="Times New Roman"/>
          <w:i/>
          <w:sz w:val="28"/>
          <w:szCs w:val="28"/>
          <w:lang w:eastAsia="en-GB"/>
        </w:rPr>
        <w:t xml:space="preserve"> enter into negotiations with the representatives of the defendant who damaged his own car with a view to clarifying their offer when he had every expectation (correctly) that he would be able to obtain a "free" car anyway? Why indeed should an innocent car driver be forced to react at all to a complicated letter sent on behalf of a defendant just a day after that defendant has negligently damaged his vehicle? </w:t>
      </w:r>
      <w:bookmarkEnd w:id="14"/>
    </w:p>
    <w:p w:rsidR="00BC31F7" w:rsidRPr="00BC31F7" w:rsidRDefault="00BC31F7" w:rsidP="00BC31F7">
      <w:pPr>
        <w:numPr>
          <w:ilvl w:val="0"/>
          <w:numId w:val="14"/>
        </w:numPr>
        <w:spacing w:before="100" w:beforeAutospacing="1" w:after="100" w:afterAutospacing="1" w:line="240" w:lineRule="auto"/>
        <w:rPr>
          <w:rFonts w:ascii="Times New Roman" w:eastAsia="Times New Roman" w:hAnsi="Times New Roman" w:cs="Times New Roman"/>
          <w:i/>
          <w:sz w:val="28"/>
          <w:szCs w:val="28"/>
          <w:lang w:eastAsia="en-GB"/>
        </w:rPr>
      </w:pPr>
      <w:bookmarkStart w:id="15" w:name="para15"/>
      <w:r w:rsidRPr="00BC31F7">
        <w:rPr>
          <w:rFonts w:ascii="Times New Roman" w:eastAsia="Times New Roman" w:hAnsi="Times New Roman" w:cs="Times New Roman"/>
          <w:i/>
          <w:sz w:val="28"/>
          <w:szCs w:val="28"/>
          <w:lang w:eastAsia="en-GB"/>
        </w:rPr>
        <w:t xml:space="preserve">In fact the record shows (pages 73-76) that Captain </w:t>
      </w:r>
      <w:proofErr w:type="spellStart"/>
      <w:r w:rsidRPr="00BC31F7">
        <w:rPr>
          <w:rFonts w:ascii="Times New Roman" w:eastAsia="Times New Roman" w:hAnsi="Times New Roman" w:cs="Times New Roman"/>
          <w:i/>
          <w:sz w:val="28"/>
          <w:szCs w:val="28"/>
          <w:lang w:eastAsia="en-GB"/>
        </w:rPr>
        <w:t>Maden's</w:t>
      </w:r>
      <w:proofErr w:type="spellEnd"/>
      <w:r w:rsidRPr="00BC31F7">
        <w:rPr>
          <w:rFonts w:ascii="Times New Roman" w:eastAsia="Times New Roman" w:hAnsi="Times New Roman" w:cs="Times New Roman"/>
          <w:i/>
          <w:sz w:val="28"/>
          <w:szCs w:val="28"/>
          <w:lang w:eastAsia="en-GB"/>
        </w:rPr>
        <w:t xml:space="preserve"> evidence was that he had sent KGM's letter to his own brokers or insurers (described as SAGA). That was never challenged by counsel for Mr Haller and his insurers and it is a bit of a mystery why the District Judge held that Captain </w:t>
      </w:r>
      <w:proofErr w:type="spellStart"/>
      <w:r w:rsidRPr="00BC31F7">
        <w:rPr>
          <w:rFonts w:ascii="Times New Roman" w:eastAsia="Times New Roman" w:hAnsi="Times New Roman" w:cs="Times New Roman"/>
          <w:i/>
          <w:sz w:val="28"/>
          <w:szCs w:val="28"/>
          <w:lang w:eastAsia="en-GB"/>
        </w:rPr>
        <w:t>Maden</w:t>
      </w:r>
      <w:proofErr w:type="spellEnd"/>
      <w:r w:rsidRPr="00BC31F7">
        <w:rPr>
          <w:rFonts w:ascii="Times New Roman" w:eastAsia="Times New Roman" w:hAnsi="Times New Roman" w:cs="Times New Roman"/>
          <w:i/>
          <w:sz w:val="28"/>
          <w:szCs w:val="28"/>
          <w:lang w:eastAsia="en-GB"/>
        </w:rPr>
        <w:t xml:space="preserve"> ignored it. The answer must be that, like Deputy District Judge Reed in the case of Mrs Copley and her solicitor, he was conflating the position of Captain </w:t>
      </w:r>
      <w:proofErr w:type="spellStart"/>
      <w:r w:rsidRPr="00BC31F7">
        <w:rPr>
          <w:rFonts w:ascii="Times New Roman" w:eastAsia="Times New Roman" w:hAnsi="Times New Roman" w:cs="Times New Roman"/>
          <w:i/>
          <w:sz w:val="28"/>
          <w:szCs w:val="28"/>
          <w:lang w:eastAsia="en-GB"/>
        </w:rPr>
        <w:t>Maden</w:t>
      </w:r>
      <w:proofErr w:type="spellEnd"/>
      <w:r w:rsidRPr="00BC31F7">
        <w:rPr>
          <w:rFonts w:ascii="Times New Roman" w:eastAsia="Times New Roman" w:hAnsi="Times New Roman" w:cs="Times New Roman"/>
          <w:i/>
          <w:sz w:val="28"/>
          <w:szCs w:val="28"/>
          <w:lang w:eastAsia="en-GB"/>
        </w:rPr>
        <w:t xml:space="preserve"> and his brokers and the question is whether that was the right approach. </w:t>
      </w:r>
      <w:bookmarkEnd w:id="15"/>
    </w:p>
    <w:p w:rsidR="00BC31F7" w:rsidRPr="00BC31F7" w:rsidRDefault="00BC31F7" w:rsidP="00BC31F7">
      <w:pPr>
        <w:numPr>
          <w:ilvl w:val="0"/>
          <w:numId w:val="15"/>
        </w:numPr>
        <w:spacing w:before="100" w:beforeAutospacing="1" w:after="100" w:afterAutospacing="1" w:line="240" w:lineRule="auto"/>
        <w:rPr>
          <w:rFonts w:ascii="Times New Roman" w:eastAsia="Times New Roman" w:hAnsi="Times New Roman" w:cs="Times New Roman"/>
          <w:i/>
          <w:sz w:val="28"/>
          <w:szCs w:val="28"/>
          <w:lang w:eastAsia="en-GB"/>
        </w:rPr>
      </w:pPr>
      <w:bookmarkStart w:id="16" w:name="para16"/>
      <w:r w:rsidRPr="00BC31F7">
        <w:rPr>
          <w:rFonts w:ascii="Times New Roman" w:eastAsia="Times New Roman" w:hAnsi="Times New Roman" w:cs="Times New Roman"/>
          <w:i/>
          <w:sz w:val="28"/>
          <w:szCs w:val="28"/>
          <w:lang w:eastAsia="en-GB"/>
        </w:rPr>
        <w:t xml:space="preserve">The answer is that in most cases that will be the right approach because the natural assumption will be that any individual driver will send any letter similar to KGM's letter to his own agents whether they be his solicitors or his brokers or his insurers. It is therefore appropriate to consider the combined position of the claimants and their advisers and, if that is what the judges below did, they were right to do so. </w:t>
      </w:r>
      <w:bookmarkEnd w:id="16"/>
    </w:p>
    <w:p w:rsidR="00BC31F7" w:rsidRPr="00A4033E" w:rsidRDefault="00BC31F7" w:rsidP="00BC31F7">
      <w:pPr>
        <w:numPr>
          <w:ilvl w:val="0"/>
          <w:numId w:val="16"/>
        </w:numPr>
        <w:spacing w:before="100" w:beforeAutospacing="1" w:after="100" w:afterAutospacing="1" w:line="240" w:lineRule="auto"/>
        <w:rPr>
          <w:rFonts w:ascii="Times New Roman" w:eastAsia="Times New Roman" w:hAnsi="Times New Roman" w:cs="Times New Roman"/>
          <w:i/>
          <w:sz w:val="28"/>
          <w:szCs w:val="28"/>
          <w:lang w:eastAsia="en-GB"/>
        </w:rPr>
      </w:pPr>
      <w:bookmarkStart w:id="17" w:name="para17"/>
      <w:r w:rsidRPr="00BC31F7">
        <w:rPr>
          <w:rFonts w:ascii="Times New Roman" w:eastAsia="Times New Roman" w:hAnsi="Times New Roman" w:cs="Times New Roman"/>
          <w:i/>
          <w:sz w:val="28"/>
          <w:szCs w:val="28"/>
          <w:lang w:eastAsia="en-GB"/>
        </w:rPr>
        <w:t xml:space="preserve">This conclusion carries with it an important consequence. If it is right to take into account the fact that insurers on both sides are involved (as is explicit in relation to the defendants and implicit in relation to the claimants), any offer made by the defendants' insurers must contain all such information as will be relevant for the claimants and their advisers or representatives to make a reasonable response. One piece of </w:t>
      </w:r>
      <w:r w:rsidRPr="00BC31F7">
        <w:rPr>
          <w:rFonts w:ascii="Times New Roman" w:eastAsia="Times New Roman" w:hAnsi="Times New Roman" w:cs="Times New Roman"/>
          <w:i/>
          <w:sz w:val="28"/>
          <w:szCs w:val="28"/>
          <w:lang w:eastAsia="en-GB"/>
        </w:rPr>
        <w:lastRenderedPageBreak/>
        <w:t xml:space="preserve">information missing from KGM's letter was the cost to KGM of hiring the cars. Whereas it might be said that that would be of no interest to Mrs Copley and Captain </w:t>
      </w:r>
      <w:proofErr w:type="spellStart"/>
      <w:r w:rsidRPr="00BC31F7">
        <w:rPr>
          <w:rFonts w:ascii="Times New Roman" w:eastAsia="Times New Roman" w:hAnsi="Times New Roman" w:cs="Times New Roman"/>
          <w:i/>
          <w:sz w:val="28"/>
          <w:szCs w:val="28"/>
          <w:lang w:eastAsia="en-GB"/>
        </w:rPr>
        <w:t>Maden</w:t>
      </w:r>
      <w:proofErr w:type="spellEnd"/>
      <w:r w:rsidRPr="00BC31F7">
        <w:rPr>
          <w:rFonts w:ascii="Times New Roman" w:eastAsia="Times New Roman" w:hAnsi="Times New Roman" w:cs="Times New Roman"/>
          <w:i/>
          <w:sz w:val="28"/>
          <w:szCs w:val="28"/>
          <w:lang w:eastAsia="en-GB"/>
        </w:rPr>
        <w:t xml:space="preserve"> as individuals, it would undoubtedly be of great interest to their advisers or representatives, since, if KGM could genuinely obtain hire cars more cheaply than the claimants could, it might be unreasonable to use the services of Helphire and a mitigation argument might get off the ground. </w:t>
      </w:r>
      <w:bookmarkEnd w:id="17"/>
    </w:p>
    <w:p w:rsidR="00BC31F7" w:rsidRDefault="00BC31F7" w:rsidP="00BC31F7">
      <w:pPr>
        <w:spacing w:before="100" w:beforeAutospacing="1" w:after="100" w:afterAutospacing="1" w:line="240" w:lineRule="auto"/>
        <w:ind w:left="360"/>
        <w:rPr>
          <w:rFonts w:ascii="Arial" w:eastAsia="Times New Roman" w:hAnsi="Arial" w:cs="Arial"/>
          <w:sz w:val="20"/>
          <w:szCs w:val="20"/>
          <w:lang w:eastAsia="en-GB"/>
        </w:rPr>
      </w:pPr>
    </w:p>
    <w:p w:rsidR="00BC31F7" w:rsidRDefault="00BC31F7" w:rsidP="00BC31F7">
      <w:pPr>
        <w:spacing w:before="100" w:beforeAutospacing="1" w:after="100" w:afterAutospacing="1" w:line="48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The significance of this </w:t>
      </w:r>
      <w:proofErr w:type="gramStart"/>
      <w:r>
        <w:rPr>
          <w:rFonts w:ascii="Times New Roman" w:eastAsia="Times New Roman" w:hAnsi="Times New Roman" w:cs="Times New Roman"/>
          <w:sz w:val="28"/>
          <w:szCs w:val="28"/>
          <w:lang w:eastAsia="en-GB"/>
        </w:rPr>
        <w:t>approach,</w:t>
      </w:r>
      <w:proofErr w:type="gramEnd"/>
      <w:r>
        <w:rPr>
          <w:rFonts w:ascii="Times New Roman" w:eastAsia="Times New Roman" w:hAnsi="Times New Roman" w:cs="Times New Roman"/>
          <w:sz w:val="28"/>
          <w:szCs w:val="28"/>
          <w:lang w:eastAsia="en-GB"/>
        </w:rPr>
        <w:t xml:space="preserve"> is that it indicates that a broad notion that insurance arrangements are always res inter </w:t>
      </w:r>
      <w:proofErr w:type="spellStart"/>
      <w:r>
        <w:rPr>
          <w:rFonts w:ascii="Times New Roman" w:eastAsia="Times New Roman" w:hAnsi="Times New Roman" w:cs="Times New Roman"/>
          <w:sz w:val="28"/>
          <w:szCs w:val="28"/>
          <w:lang w:eastAsia="en-GB"/>
        </w:rPr>
        <w:t>alios</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acta</w:t>
      </w:r>
      <w:proofErr w:type="spellEnd"/>
      <w:r>
        <w:rPr>
          <w:rFonts w:ascii="Times New Roman" w:eastAsia="Times New Roman" w:hAnsi="Times New Roman" w:cs="Times New Roman"/>
          <w:sz w:val="28"/>
          <w:szCs w:val="28"/>
          <w:lang w:eastAsia="en-GB"/>
        </w:rPr>
        <w:t xml:space="preserve">, is </w:t>
      </w:r>
      <w:r w:rsidR="000441DE">
        <w:rPr>
          <w:rFonts w:ascii="Times New Roman" w:eastAsia="Times New Roman" w:hAnsi="Times New Roman" w:cs="Times New Roman"/>
          <w:sz w:val="28"/>
          <w:szCs w:val="28"/>
          <w:lang w:eastAsia="en-GB"/>
        </w:rPr>
        <w:t>far too wide.</w:t>
      </w:r>
    </w:p>
    <w:p w:rsidR="00A4033E" w:rsidRDefault="00A4033E" w:rsidP="00BC31F7">
      <w:pPr>
        <w:spacing w:before="100" w:beforeAutospacing="1" w:after="100" w:afterAutospacing="1" w:line="480" w:lineRule="auto"/>
        <w:rPr>
          <w:rFonts w:ascii="Times New Roman" w:eastAsia="Times New Roman" w:hAnsi="Times New Roman" w:cs="Times New Roman"/>
          <w:sz w:val="28"/>
          <w:szCs w:val="28"/>
          <w:lang w:eastAsia="en-GB"/>
        </w:rPr>
      </w:pPr>
    </w:p>
    <w:p w:rsidR="00556DC9" w:rsidRDefault="00A4033E" w:rsidP="00BC31F7">
      <w:pPr>
        <w:spacing w:before="100" w:beforeAutospacing="1" w:after="100" w:afterAutospacing="1" w:line="48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25.</w:t>
      </w:r>
      <w:r w:rsidR="000441DE">
        <w:rPr>
          <w:rFonts w:ascii="Times New Roman" w:eastAsia="Times New Roman" w:hAnsi="Times New Roman" w:cs="Times New Roman"/>
          <w:sz w:val="28"/>
          <w:szCs w:val="28"/>
          <w:lang w:eastAsia="en-GB"/>
        </w:rPr>
        <w:tab/>
        <w:t xml:space="preserve">The argument has been directly addressed in the oft cited decision in the Poole County Court of </w:t>
      </w:r>
      <w:proofErr w:type="spellStart"/>
      <w:r w:rsidR="000441DE" w:rsidRPr="0049063F">
        <w:rPr>
          <w:rFonts w:ascii="Times New Roman" w:eastAsia="Times New Roman" w:hAnsi="Times New Roman" w:cs="Times New Roman"/>
          <w:b/>
          <w:sz w:val="28"/>
          <w:szCs w:val="28"/>
          <w:u w:val="single"/>
          <w:lang w:eastAsia="en-GB"/>
        </w:rPr>
        <w:t>Rose.v.The</w:t>
      </w:r>
      <w:proofErr w:type="spellEnd"/>
      <w:r w:rsidR="000441DE" w:rsidRPr="0049063F">
        <w:rPr>
          <w:rFonts w:ascii="Times New Roman" w:eastAsia="Times New Roman" w:hAnsi="Times New Roman" w:cs="Times New Roman"/>
          <w:b/>
          <w:sz w:val="28"/>
          <w:szCs w:val="28"/>
          <w:u w:val="single"/>
          <w:lang w:eastAsia="en-GB"/>
        </w:rPr>
        <w:t xml:space="preserve"> Co-operative Group</w:t>
      </w:r>
      <w:r w:rsidR="000441DE">
        <w:rPr>
          <w:rStyle w:val="FootnoteReference"/>
          <w:rFonts w:ascii="Times New Roman" w:eastAsia="Times New Roman" w:hAnsi="Times New Roman" w:cs="Times New Roman"/>
          <w:sz w:val="28"/>
          <w:szCs w:val="28"/>
          <w:lang w:eastAsia="en-GB"/>
        </w:rPr>
        <w:footnoteReference w:id="11"/>
      </w:r>
      <w:r w:rsidR="009A75A9">
        <w:rPr>
          <w:rFonts w:ascii="Times New Roman" w:eastAsia="Times New Roman" w:hAnsi="Times New Roman" w:cs="Times New Roman"/>
          <w:sz w:val="28"/>
          <w:szCs w:val="28"/>
          <w:lang w:eastAsia="en-GB"/>
        </w:rPr>
        <w:t>which surveyed other County Court decisions</w:t>
      </w:r>
      <w:r w:rsidR="009A75A9" w:rsidRPr="009A75A9">
        <w:rPr>
          <w:rStyle w:val="FootnoteReference"/>
          <w:rFonts w:ascii="Times New Roman" w:eastAsia="Times New Roman" w:hAnsi="Times New Roman" w:cs="Times New Roman"/>
          <w:sz w:val="28"/>
          <w:szCs w:val="28"/>
          <w:lang w:eastAsia="en-GB"/>
        </w:rPr>
        <w:footnoteReference w:id="12"/>
      </w:r>
      <w:r w:rsidR="000441DE" w:rsidRPr="000441DE">
        <w:rPr>
          <w:rFonts w:ascii="Times New Roman" w:eastAsia="Times New Roman" w:hAnsi="Times New Roman" w:cs="Times New Roman"/>
          <w:sz w:val="28"/>
          <w:szCs w:val="28"/>
          <w:lang w:eastAsia="en-GB"/>
        </w:rPr>
        <w:t xml:space="preserve"> </w:t>
      </w:r>
      <w:r w:rsidR="000441DE">
        <w:rPr>
          <w:rFonts w:ascii="Times New Roman" w:eastAsia="Times New Roman" w:hAnsi="Times New Roman" w:cs="Times New Roman"/>
          <w:sz w:val="28"/>
          <w:szCs w:val="28"/>
          <w:lang w:eastAsia="en-GB"/>
        </w:rPr>
        <w:t>however, a careful reading of the transcript of this judgment</w:t>
      </w:r>
      <w:r w:rsidR="00556DC9">
        <w:rPr>
          <w:rFonts w:ascii="Times New Roman" w:eastAsia="Times New Roman" w:hAnsi="Times New Roman" w:cs="Times New Roman"/>
          <w:sz w:val="28"/>
          <w:szCs w:val="28"/>
          <w:lang w:eastAsia="en-GB"/>
        </w:rPr>
        <w:t xml:space="preserve">, indicates that the decision in </w:t>
      </w:r>
      <w:proofErr w:type="spellStart"/>
      <w:r w:rsidR="00556DC9" w:rsidRPr="0049063F">
        <w:rPr>
          <w:rFonts w:ascii="Times New Roman" w:eastAsia="Times New Roman" w:hAnsi="Times New Roman" w:cs="Times New Roman"/>
          <w:b/>
          <w:sz w:val="28"/>
          <w:szCs w:val="28"/>
          <w:u w:val="single"/>
          <w:lang w:eastAsia="en-GB"/>
        </w:rPr>
        <w:t>Parry.v.Cleaver</w:t>
      </w:r>
      <w:proofErr w:type="spellEnd"/>
      <w:r w:rsidR="00556DC9">
        <w:rPr>
          <w:rFonts w:ascii="Times New Roman" w:eastAsia="Times New Roman" w:hAnsi="Times New Roman" w:cs="Times New Roman"/>
          <w:sz w:val="28"/>
          <w:szCs w:val="28"/>
          <w:lang w:eastAsia="en-GB"/>
        </w:rPr>
        <w:t xml:space="preserve">, was not subject to a rigorous analysis, and was given a wide application. </w:t>
      </w:r>
    </w:p>
    <w:p w:rsidR="007B0610" w:rsidRDefault="007B0610" w:rsidP="00BC31F7">
      <w:pPr>
        <w:spacing w:before="100" w:beforeAutospacing="1" w:after="100" w:afterAutospacing="1" w:line="480" w:lineRule="auto"/>
        <w:rPr>
          <w:rFonts w:ascii="Times New Roman" w:eastAsia="Times New Roman" w:hAnsi="Times New Roman" w:cs="Times New Roman"/>
          <w:sz w:val="28"/>
          <w:szCs w:val="28"/>
          <w:lang w:eastAsia="en-GB"/>
        </w:rPr>
      </w:pPr>
    </w:p>
    <w:p w:rsidR="000441DE" w:rsidRDefault="00A4033E" w:rsidP="00A4033E">
      <w:pPr>
        <w:spacing w:before="100" w:beforeAutospacing="1" w:after="100" w:afterAutospacing="1" w:line="48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26.</w:t>
      </w:r>
      <w:r>
        <w:rPr>
          <w:rFonts w:ascii="Times New Roman" w:eastAsia="Times New Roman" w:hAnsi="Times New Roman" w:cs="Times New Roman"/>
          <w:sz w:val="28"/>
          <w:szCs w:val="28"/>
          <w:lang w:eastAsia="en-GB"/>
        </w:rPr>
        <w:tab/>
      </w:r>
      <w:r w:rsidR="00556DC9">
        <w:rPr>
          <w:rFonts w:ascii="Times New Roman" w:eastAsia="Times New Roman" w:hAnsi="Times New Roman" w:cs="Times New Roman"/>
          <w:sz w:val="28"/>
          <w:szCs w:val="28"/>
          <w:lang w:eastAsia="en-GB"/>
        </w:rPr>
        <w:t>The decision of the judge in this case is not binding, but has often been cited as determinative, in pursuance of that peculiar tradition in County Court litigation that unimportant decisions become important because parties give them undue deference.</w:t>
      </w:r>
    </w:p>
    <w:p w:rsidR="00A4033E" w:rsidRDefault="00A4033E" w:rsidP="00A4033E">
      <w:pPr>
        <w:spacing w:before="100" w:beforeAutospacing="1" w:after="100" w:afterAutospacing="1" w:line="480" w:lineRule="auto"/>
        <w:rPr>
          <w:rFonts w:ascii="Times New Roman" w:eastAsia="Times New Roman" w:hAnsi="Times New Roman" w:cs="Times New Roman"/>
          <w:sz w:val="28"/>
          <w:szCs w:val="28"/>
          <w:lang w:eastAsia="en-GB"/>
        </w:rPr>
      </w:pPr>
    </w:p>
    <w:p w:rsidR="00556DC9" w:rsidRDefault="00A4033E" w:rsidP="00A4033E">
      <w:pPr>
        <w:spacing w:before="100" w:beforeAutospacing="1" w:after="100" w:afterAutospacing="1" w:line="48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27.</w:t>
      </w:r>
      <w:r>
        <w:rPr>
          <w:rFonts w:ascii="Times New Roman" w:eastAsia="Times New Roman" w:hAnsi="Times New Roman" w:cs="Times New Roman"/>
          <w:sz w:val="28"/>
          <w:szCs w:val="28"/>
          <w:lang w:eastAsia="en-GB"/>
        </w:rPr>
        <w:tab/>
      </w:r>
      <w:r w:rsidR="00556DC9">
        <w:rPr>
          <w:rFonts w:ascii="Times New Roman" w:eastAsia="Times New Roman" w:hAnsi="Times New Roman" w:cs="Times New Roman"/>
          <w:sz w:val="28"/>
          <w:szCs w:val="28"/>
          <w:lang w:eastAsia="en-GB"/>
        </w:rPr>
        <w:t xml:space="preserve">The scope of the insurance exception was more fully argued in </w:t>
      </w:r>
      <w:proofErr w:type="spellStart"/>
      <w:r w:rsidR="00556DC9" w:rsidRPr="0049063F">
        <w:rPr>
          <w:rFonts w:ascii="Times New Roman" w:eastAsia="Times New Roman" w:hAnsi="Times New Roman" w:cs="Times New Roman"/>
          <w:b/>
          <w:sz w:val="28"/>
          <w:szCs w:val="28"/>
          <w:u w:val="single"/>
          <w:lang w:eastAsia="en-GB"/>
        </w:rPr>
        <w:t>W.v.Veolia</w:t>
      </w:r>
      <w:proofErr w:type="spellEnd"/>
      <w:r w:rsidR="00556DC9" w:rsidRPr="0049063F">
        <w:rPr>
          <w:rFonts w:ascii="Times New Roman" w:eastAsia="Times New Roman" w:hAnsi="Times New Roman" w:cs="Times New Roman"/>
          <w:b/>
          <w:sz w:val="28"/>
          <w:szCs w:val="28"/>
          <w:u w:val="single"/>
          <w:lang w:eastAsia="en-GB"/>
        </w:rPr>
        <w:t xml:space="preserve"> Environmental Services (UK plc)</w:t>
      </w:r>
      <w:r w:rsidR="00556DC9" w:rsidRPr="0049063F">
        <w:rPr>
          <w:rStyle w:val="FootnoteReference"/>
          <w:rFonts w:ascii="Times New Roman" w:eastAsia="Times New Roman" w:hAnsi="Times New Roman" w:cs="Times New Roman"/>
          <w:sz w:val="28"/>
          <w:szCs w:val="28"/>
          <w:lang w:eastAsia="en-GB"/>
        </w:rPr>
        <w:footnoteReference w:id="13"/>
      </w:r>
      <w:r w:rsidR="00556DC9">
        <w:rPr>
          <w:rFonts w:ascii="Times New Roman" w:eastAsia="Times New Roman" w:hAnsi="Times New Roman" w:cs="Times New Roman"/>
          <w:sz w:val="28"/>
          <w:szCs w:val="28"/>
          <w:lang w:eastAsia="en-GB"/>
        </w:rPr>
        <w:t xml:space="preserve"> but in a different context: to argue that even if the subrogated claim sought to be brought in that case was not subrogated, a payment by a party to a victim of a wrong with the intention of not reducing the victim’s claim against the defendant was properly to be left out of account.</w:t>
      </w:r>
      <w:r w:rsidR="00556DC9">
        <w:rPr>
          <w:rStyle w:val="FootnoteReference"/>
          <w:rFonts w:ascii="Times New Roman" w:eastAsia="Times New Roman" w:hAnsi="Times New Roman" w:cs="Times New Roman"/>
          <w:sz w:val="28"/>
          <w:szCs w:val="28"/>
          <w:lang w:eastAsia="en-GB"/>
        </w:rPr>
        <w:footnoteReference w:id="14"/>
      </w:r>
      <w:r w:rsidR="009A75A9">
        <w:rPr>
          <w:rFonts w:ascii="Times New Roman" w:eastAsia="Times New Roman" w:hAnsi="Times New Roman" w:cs="Times New Roman"/>
          <w:sz w:val="28"/>
          <w:szCs w:val="28"/>
          <w:lang w:eastAsia="en-GB"/>
        </w:rPr>
        <w:t xml:space="preserve"> The question as whether the option to use a comprehensive insurance policy or not, was a factor properly to be taken into account, was not in issue at all.</w:t>
      </w:r>
    </w:p>
    <w:p w:rsidR="00A4033E" w:rsidRDefault="00A4033E" w:rsidP="009A75A9">
      <w:pPr>
        <w:spacing w:before="100" w:beforeAutospacing="1" w:after="100" w:afterAutospacing="1" w:line="480" w:lineRule="auto"/>
        <w:rPr>
          <w:rFonts w:ascii="Times New Roman" w:eastAsia="Times New Roman" w:hAnsi="Times New Roman" w:cs="Times New Roman"/>
          <w:sz w:val="28"/>
          <w:szCs w:val="28"/>
          <w:lang w:eastAsia="en-GB"/>
        </w:rPr>
      </w:pPr>
    </w:p>
    <w:p w:rsidR="009A75A9" w:rsidRDefault="00A4033E" w:rsidP="009A75A9">
      <w:pPr>
        <w:spacing w:before="100" w:beforeAutospacing="1" w:after="100" w:afterAutospacing="1" w:line="48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28.</w:t>
      </w:r>
      <w:r w:rsidR="009A75A9">
        <w:rPr>
          <w:rFonts w:ascii="Times New Roman" w:eastAsia="Times New Roman" w:hAnsi="Times New Roman" w:cs="Times New Roman"/>
          <w:sz w:val="28"/>
          <w:szCs w:val="28"/>
          <w:lang w:eastAsia="en-GB"/>
        </w:rPr>
        <w:tab/>
        <w:t>Certain decisions of the Northern Irish courts</w:t>
      </w:r>
      <w:r w:rsidR="009A75A9">
        <w:rPr>
          <w:rStyle w:val="FootnoteReference"/>
          <w:rFonts w:ascii="Times New Roman" w:eastAsia="Times New Roman" w:hAnsi="Times New Roman" w:cs="Times New Roman"/>
          <w:sz w:val="28"/>
          <w:szCs w:val="28"/>
          <w:lang w:eastAsia="en-GB"/>
        </w:rPr>
        <w:footnoteReference w:id="15"/>
      </w:r>
      <w:r w:rsidR="009A75A9">
        <w:rPr>
          <w:rFonts w:ascii="Times New Roman" w:eastAsia="Times New Roman" w:hAnsi="Times New Roman" w:cs="Times New Roman"/>
          <w:sz w:val="28"/>
          <w:szCs w:val="28"/>
          <w:lang w:eastAsia="en-GB"/>
        </w:rPr>
        <w:t xml:space="preserve"> have also accepted a broad application of the principle of res inter </w:t>
      </w:r>
      <w:proofErr w:type="spellStart"/>
      <w:r w:rsidR="009A75A9">
        <w:rPr>
          <w:rFonts w:ascii="Times New Roman" w:eastAsia="Times New Roman" w:hAnsi="Times New Roman" w:cs="Times New Roman"/>
          <w:sz w:val="28"/>
          <w:szCs w:val="28"/>
          <w:lang w:eastAsia="en-GB"/>
        </w:rPr>
        <w:t>alios</w:t>
      </w:r>
      <w:proofErr w:type="spellEnd"/>
      <w:r w:rsidR="009A75A9">
        <w:rPr>
          <w:rFonts w:ascii="Times New Roman" w:eastAsia="Times New Roman" w:hAnsi="Times New Roman" w:cs="Times New Roman"/>
          <w:sz w:val="28"/>
          <w:szCs w:val="28"/>
          <w:lang w:eastAsia="en-GB"/>
        </w:rPr>
        <w:t xml:space="preserve"> </w:t>
      </w:r>
      <w:proofErr w:type="spellStart"/>
      <w:r w:rsidR="009A75A9">
        <w:rPr>
          <w:rFonts w:ascii="Times New Roman" w:eastAsia="Times New Roman" w:hAnsi="Times New Roman" w:cs="Times New Roman"/>
          <w:sz w:val="28"/>
          <w:szCs w:val="28"/>
          <w:lang w:eastAsia="en-GB"/>
        </w:rPr>
        <w:t>acta</w:t>
      </w:r>
      <w:proofErr w:type="spellEnd"/>
      <w:r w:rsidR="009A75A9">
        <w:rPr>
          <w:rFonts w:ascii="Times New Roman" w:eastAsia="Times New Roman" w:hAnsi="Times New Roman" w:cs="Times New Roman"/>
          <w:sz w:val="28"/>
          <w:szCs w:val="28"/>
          <w:lang w:eastAsia="en-GB"/>
        </w:rPr>
        <w:t>, but are vulnerable to the same cri</w:t>
      </w:r>
      <w:r w:rsidR="00276431">
        <w:rPr>
          <w:rFonts w:ascii="Times New Roman" w:eastAsia="Times New Roman" w:hAnsi="Times New Roman" w:cs="Times New Roman"/>
          <w:sz w:val="28"/>
          <w:szCs w:val="28"/>
          <w:lang w:eastAsia="en-GB"/>
        </w:rPr>
        <w:t xml:space="preserve">ticisms. </w:t>
      </w:r>
      <w:proofErr w:type="gramStart"/>
      <w:r w:rsidR="00276431">
        <w:rPr>
          <w:rFonts w:ascii="Times New Roman" w:eastAsia="Times New Roman" w:hAnsi="Times New Roman" w:cs="Times New Roman"/>
          <w:sz w:val="28"/>
          <w:szCs w:val="28"/>
          <w:lang w:eastAsia="en-GB"/>
        </w:rPr>
        <w:t>So whither English law</w:t>
      </w:r>
      <w:r w:rsidR="009A75A9">
        <w:rPr>
          <w:rFonts w:ascii="Times New Roman" w:eastAsia="Times New Roman" w:hAnsi="Times New Roman" w:cs="Times New Roman"/>
          <w:sz w:val="28"/>
          <w:szCs w:val="28"/>
          <w:lang w:eastAsia="en-GB"/>
        </w:rPr>
        <w:t>?</w:t>
      </w:r>
      <w:proofErr w:type="gramEnd"/>
      <w:r w:rsidR="009A75A9">
        <w:rPr>
          <w:rFonts w:ascii="Times New Roman" w:eastAsia="Times New Roman" w:hAnsi="Times New Roman" w:cs="Times New Roman"/>
          <w:sz w:val="28"/>
          <w:szCs w:val="28"/>
          <w:lang w:eastAsia="en-GB"/>
        </w:rPr>
        <w:t xml:space="preserve"> </w:t>
      </w:r>
    </w:p>
    <w:p w:rsidR="009714BC" w:rsidRDefault="009714BC" w:rsidP="009A75A9">
      <w:pPr>
        <w:spacing w:before="100" w:beforeAutospacing="1" w:after="100" w:afterAutospacing="1" w:line="480" w:lineRule="auto"/>
        <w:rPr>
          <w:rFonts w:ascii="Times New Roman" w:eastAsia="Times New Roman" w:hAnsi="Times New Roman" w:cs="Times New Roman"/>
          <w:sz w:val="28"/>
          <w:szCs w:val="28"/>
          <w:lang w:eastAsia="en-GB"/>
        </w:rPr>
      </w:pPr>
    </w:p>
    <w:p w:rsidR="009714BC" w:rsidRPr="00A4033E" w:rsidRDefault="009714BC" w:rsidP="009A75A9">
      <w:pPr>
        <w:spacing w:before="100" w:beforeAutospacing="1" w:after="100" w:afterAutospacing="1" w:line="480" w:lineRule="auto"/>
        <w:rPr>
          <w:rFonts w:ascii="Times New Roman" w:eastAsia="Times New Roman" w:hAnsi="Times New Roman" w:cs="Times New Roman"/>
          <w:b/>
          <w:sz w:val="28"/>
          <w:szCs w:val="28"/>
          <w:u w:val="single"/>
          <w:lang w:eastAsia="en-GB"/>
        </w:rPr>
      </w:pPr>
      <w:r w:rsidRPr="00A4033E">
        <w:rPr>
          <w:rFonts w:ascii="Times New Roman" w:eastAsia="Times New Roman" w:hAnsi="Times New Roman" w:cs="Times New Roman"/>
          <w:b/>
          <w:sz w:val="28"/>
          <w:szCs w:val="28"/>
          <w:u w:val="single"/>
          <w:lang w:eastAsia="en-GB"/>
        </w:rPr>
        <w:t>The position in the United States of America</w:t>
      </w:r>
    </w:p>
    <w:p w:rsidR="009714BC" w:rsidRDefault="00A4033E" w:rsidP="009A75A9">
      <w:pPr>
        <w:spacing w:before="100" w:beforeAutospacing="1" w:after="100" w:afterAutospacing="1" w:line="48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29.</w:t>
      </w:r>
      <w:r w:rsidR="009714BC">
        <w:rPr>
          <w:rFonts w:ascii="Times New Roman" w:eastAsia="Times New Roman" w:hAnsi="Times New Roman" w:cs="Times New Roman"/>
          <w:sz w:val="28"/>
          <w:szCs w:val="28"/>
          <w:lang w:eastAsia="en-GB"/>
        </w:rPr>
        <w:tab/>
        <w:t>The position in the USA, presents a fascinating contrast to the position in English law. Leaving aside certain commentators, who wish for philosophical reasons to abolish fault based liability altogether</w:t>
      </w:r>
      <w:r w:rsidR="009714BC">
        <w:rPr>
          <w:rStyle w:val="FootnoteReference"/>
          <w:rFonts w:ascii="Times New Roman" w:eastAsia="Times New Roman" w:hAnsi="Times New Roman" w:cs="Times New Roman"/>
          <w:sz w:val="28"/>
          <w:szCs w:val="28"/>
          <w:lang w:eastAsia="en-GB"/>
        </w:rPr>
        <w:footnoteReference w:id="16"/>
      </w:r>
      <w:r w:rsidR="009714BC">
        <w:rPr>
          <w:rFonts w:ascii="Times New Roman" w:eastAsia="Times New Roman" w:hAnsi="Times New Roman" w:cs="Times New Roman"/>
          <w:sz w:val="28"/>
          <w:szCs w:val="28"/>
          <w:lang w:eastAsia="en-GB"/>
        </w:rPr>
        <w:t xml:space="preserve">, no fewer than 44 out of 50 </w:t>
      </w:r>
      <w:r w:rsidR="009714BC">
        <w:rPr>
          <w:rFonts w:ascii="Times New Roman" w:eastAsia="Times New Roman" w:hAnsi="Times New Roman" w:cs="Times New Roman"/>
          <w:sz w:val="28"/>
          <w:szCs w:val="28"/>
          <w:lang w:eastAsia="en-GB"/>
        </w:rPr>
        <w:lastRenderedPageBreak/>
        <w:t xml:space="preserve">states have enacted legislation which permits courts to take into account the payment of collateral source benefits: thus reversing by legislation the common-law rule best expressed in England by the rule in </w:t>
      </w:r>
      <w:proofErr w:type="spellStart"/>
      <w:r w:rsidR="009714BC" w:rsidRPr="0049063F">
        <w:rPr>
          <w:rFonts w:ascii="Times New Roman" w:eastAsia="Times New Roman" w:hAnsi="Times New Roman" w:cs="Times New Roman"/>
          <w:b/>
          <w:sz w:val="28"/>
          <w:szCs w:val="28"/>
          <w:u w:val="single"/>
          <w:lang w:eastAsia="en-GB"/>
        </w:rPr>
        <w:t>Parry.v.Cleaver</w:t>
      </w:r>
      <w:proofErr w:type="spellEnd"/>
      <w:r w:rsidR="009714BC">
        <w:rPr>
          <w:rFonts w:ascii="Times New Roman" w:eastAsia="Times New Roman" w:hAnsi="Times New Roman" w:cs="Times New Roman"/>
          <w:sz w:val="28"/>
          <w:szCs w:val="28"/>
          <w:lang w:eastAsia="en-GB"/>
        </w:rPr>
        <w:t xml:space="preserve"> and which had been part of American law since 1854</w:t>
      </w:r>
      <w:r w:rsidR="009714BC">
        <w:rPr>
          <w:rStyle w:val="FootnoteReference"/>
          <w:rFonts w:ascii="Times New Roman" w:eastAsia="Times New Roman" w:hAnsi="Times New Roman" w:cs="Times New Roman"/>
          <w:sz w:val="28"/>
          <w:szCs w:val="28"/>
          <w:lang w:eastAsia="en-GB"/>
        </w:rPr>
        <w:footnoteReference w:id="17"/>
      </w:r>
      <w:r w:rsidR="009714BC">
        <w:rPr>
          <w:rFonts w:ascii="Times New Roman" w:eastAsia="Times New Roman" w:hAnsi="Times New Roman" w:cs="Times New Roman"/>
          <w:sz w:val="28"/>
          <w:szCs w:val="28"/>
          <w:lang w:eastAsia="en-GB"/>
        </w:rPr>
        <w:t xml:space="preserve">. The enactment of such legislation can be traced in many cases, to </w:t>
      </w:r>
      <w:r w:rsidR="007B0610">
        <w:rPr>
          <w:rFonts w:ascii="Times New Roman" w:eastAsia="Times New Roman" w:hAnsi="Times New Roman" w:cs="Times New Roman"/>
          <w:sz w:val="28"/>
          <w:szCs w:val="28"/>
          <w:lang w:eastAsia="en-GB"/>
        </w:rPr>
        <w:t xml:space="preserve">the representations of </w:t>
      </w:r>
      <w:r w:rsidR="009714BC">
        <w:rPr>
          <w:rFonts w:ascii="Times New Roman" w:eastAsia="Times New Roman" w:hAnsi="Times New Roman" w:cs="Times New Roman"/>
          <w:sz w:val="28"/>
          <w:szCs w:val="28"/>
          <w:lang w:eastAsia="en-GB"/>
        </w:rPr>
        <w:t xml:space="preserve">powerful lobbying </w:t>
      </w:r>
      <w:r w:rsidR="007B0610">
        <w:rPr>
          <w:rFonts w:ascii="Times New Roman" w:eastAsia="Times New Roman" w:hAnsi="Times New Roman" w:cs="Times New Roman"/>
          <w:sz w:val="28"/>
          <w:szCs w:val="28"/>
          <w:lang w:eastAsia="en-GB"/>
        </w:rPr>
        <w:t xml:space="preserve">by </w:t>
      </w:r>
      <w:r w:rsidR="009714BC">
        <w:rPr>
          <w:rFonts w:ascii="Times New Roman" w:eastAsia="Times New Roman" w:hAnsi="Times New Roman" w:cs="Times New Roman"/>
          <w:sz w:val="28"/>
          <w:szCs w:val="28"/>
          <w:lang w:eastAsia="en-GB"/>
        </w:rPr>
        <w:t>insurance companies and the medical defence organisations.</w:t>
      </w:r>
    </w:p>
    <w:p w:rsidR="00A85300" w:rsidRPr="00A4033E" w:rsidRDefault="00A85300" w:rsidP="009A75A9">
      <w:pPr>
        <w:spacing w:before="100" w:beforeAutospacing="1" w:after="100" w:afterAutospacing="1" w:line="480" w:lineRule="auto"/>
        <w:rPr>
          <w:rFonts w:ascii="Times New Roman" w:eastAsia="Times New Roman" w:hAnsi="Times New Roman" w:cs="Times New Roman"/>
          <w:b/>
          <w:sz w:val="28"/>
          <w:szCs w:val="28"/>
          <w:u w:val="single"/>
          <w:lang w:eastAsia="en-GB"/>
        </w:rPr>
      </w:pPr>
      <w:bookmarkStart w:id="18" w:name="_GoBack"/>
      <w:bookmarkEnd w:id="18"/>
      <w:r w:rsidRPr="00A4033E">
        <w:rPr>
          <w:rFonts w:ascii="Times New Roman" w:eastAsia="Times New Roman" w:hAnsi="Times New Roman" w:cs="Times New Roman"/>
          <w:b/>
          <w:sz w:val="28"/>
          <w:szCs w:val="28"/>
          <w:u w:val="single"/>
          <w:lang w:eastAsia="en-GB"/>
        </w:rPr>
        <w:t>Conclusions</w:t>
      </w:r>
    </w:p>
    <w:p w:rsidR="00D74270" w:rsidRDefault="00A4033E" w:rsidP="009A75A9">
      <w:pPr>
        <w:spacing w:before="100" w:beforeAutospacing="1" w:after="100" w:afterAutospacing="1" w:line="48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30.</w:t>
      </w:r>
      <w:r w:rsidR="00A85300">
        <w:rPr>
          <w:rFonts w:ascii="Times New Roman" w:eastAsia="Times New Roman" w:hAnsi="Times New Roman" w:cs="Times New Roman"/>
          <w:sz w:val="28"/>
          <w:szCs w:val="28"/>
          <w:lang w:eastAsia="en-GB"/>
        </w:rPr>
        <w:tab/>
        <w:t xml:space="preserve">The above discussion indicates that the principle in </w:t>
      </w:r>
      <w:proofErr w:type="spellStart"/>
      <w:r w:rsidR="00A85300" w:rsidRPr="00A85300">
        <w:rPr>
          <w:rFonts w:ascii="Times New Roman" w:eastAsia="Times New Roman" w:hAnsi="Times New Roman" w:cs="Times New Roman"/>
          <w:sz w:val="28"/>
          <w:szCs w:val="28"/>
          <w:u w:val="single"/>
          <w:lang w:eastAsia="en-GB"/>
        </w:rPr>
        <w:t>Parry.v.Cleaver</w:t>
      </w:r>
      <w:proofErr w:type="spellEnd"/>
      <w:r w:rsidR="00A85300">
        <w:rPr>
          <w:rFonts w:ascii="Times New Roman" w:eastAsia="Times New Roman" w:hAnsi="Times New Roman" w:cs="Times New Roman"/>
          <w:sz w:val="28"/>
          <w:szCs w:val="28"/>
          <w:lang w:eastAsia="en-GB"/>
        </w:rPr>
        <w:t xml:space="preserve"> can be given a wide application or a narrow application. To date, it has been assumed that a wide application prevails.</w:t>
      </w:r>
    </w:p>
    <w:p w:rsidR="00A85300" w:rsidRDefault="00A85300" w:rsidP="009A75A9">
      <w:pPr>
        <w:spacing w:before="100" w:beforeAutospacing="1" w:after="100" w:afterAutospacing="1" w:line="48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p>
    <w:p w:rsidR="00A85300" w:rsidRDefault="00A4033E" w:rsidP="00A4033E">
      <w:pPr>
        <w:spacing w:before="100" w:beforeAutospacing="1" w:after="100" w:afterAutospacing="1" w:line="48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31.</w:t>
      </w:r>
      <w:r>
        <w:rPr>
          <w:rFonts w:ascii="Times New Roman" w:eastAsia="Times New Roman" w:hAnsi="Times New Roman" w:cs="Times New Roman"/>
          <w:sz w:val="28"/>
          <w:szCs w:val="28"/>
          <w:lang w:eastAsia="en-GB"/>
        </w:rPr>
        <w:tab/>
      </w:r>
      <w:r w:rsidR="00A85300">
        <w:rPr>
          <w:rFonts w:ascii="Times New Roman" w:eastAsia="Times New Roman" w:hAnsi="Times New Roman" w:cs="Times New Roman"/>
          <w:sz w:val="28"/>
          <w:szCs w:val="28"/>
          <w:lang w:eastAsia="en-GB"/>
        </w:rPr>
        <w:t>A narrow application would favour the arguments of road traffic liability insurers, seeking to argue in many cases, that where a claimant fails to utilise a comprehensive insurance policy and elects for a credit hire vehicle, there has been a failure to mitigate loss, as by the claimant’s actions</w:t>
      </w:r>
      <w:r w:rsidR="007B0610">
        <w:rPr>
          <w:rFonts w:ascii="Times New Roman" w:eastAsia="Times New Roman" w:hAnsi="Times New Roman" w:cs="Times New Roman"/>
          <w:sz w:val="28"/>
          <w:szCs w:val="28"/>
          <w:lang w:eastAsia="en-GB"/>
        </w:rPr>
        <w:t xml:space="preserve"> (or rather omission)</w:t>
      </w:r>
      <w:r w:rsidR="00A85300">
        <w:rPr>
          <w:rFonts w:ascii="Times New Roman" w:eastAsia="Times New Roman" w:hAnsi="Times New Roman" w:cs="Times New Roman"/>
          <w:sz w:val="28"/>
          <w:szCs w:val="28"/>
          <w:lang w:eastAsia="en-GB"/>
        </w:rPr>
        <w:t xml:space="preserve"> a small loss will increase to a large loss. </w:t>
      </w:r>
    </w:p>
    <w:p w:rsidR="00A4033E" w:rsidRDefault="00A4033E" w:rsidP="00A4033E">
      <w:pPr>
        <w:spacing w:before="100" w:beforeAutospacing="1" w:after="100" w:afterAutospacing="1" w:line="480" w:lineRule="auto"/>
        <w:rPr>
          <w:rFonts w:ascii="Times New Roman" w:eastAsia="Times New Roman" w:hAnsi="Times New Roman" w:cs="Times New Roman"/>
          <w:sz w:val="28"/>
          <w:szCs w:val="28"/>
          <w:lang w:eastAsia="en-GB"/>
        </w:rPr>
      </w:pPr>
    </w:p>
    <w:p w:rsidR="00A85300" w:rsidRDefault="00A4033E" w:rsidP="00A4033E">
      <w:pPr>
        <w:spacing w:before="100" w:beforeAutospacing="1" w:after="100" w:afterAutospacing="1" w:line="48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32.</w:t>
      </w:r>
      <w:r>
        <w:rPr>
          <w:rFonts w:ascii="Times New Roman" w:eastAsia="Times New Roman" w:hAnsi="Times New Roman" w:cs="Times New Roman"/>
          <w:sz w:val="28"/>
          <w:szCs w:val="28"/>
          <w:lang w:eastAsia="en-GB"/>
        </w:rPr>
        <w:tab/>
      </w:r>
      <w:r w:rsidR="00276431">
        <w:rPr>
          <w:rFonts w:ascii="Times New Roman" w:eastAsia="Times New Roman" w:hAnsi="Times New Roman" w:cs="Times New Roman"/>
          <w:sz w:val="28"/>
          <w:szCs w:val="28"/>
          <w:lang w:eastAsia="en-GB"/>
        </w:rPr>
        <w:t>R</w:t>
      </w:r>
      <w:r w:rsidR="00A85300">
        <w:rPr>
          <w:rFonts w:ascii="Times New Roman" w:eastAsia="Times New Roman" w:hAnsi="Times New Roman" w:cs="Times New Roman"/>
          <w:sz w:val="28"/>
          <w:szCs w:val="28"/>
          <w:lang w:eastAsia="en-GB"/>
        </w:rPr>
        <w:t xml:space="preserve">oad traffic liability </w:t>
      </w:r>
      <w:proofErr w:type="gramStart"/>
      <w:r w:rsidR="00A85300">
        <w:rPr>
          <w:rFonts w:ascii="Times New Roman" w:eastAsia="Times New Roman" w:hAnsi="Times New Roman" w:cs="Times New Roman"/>
          <w:sz w:val="28"/>
          <w:szCs w:val="28"/>
          <w:lang w:eastAsia="en-GB"/>
        </w:rPr>
        <w:t>insurers,</w:t>
      </w:r>
      <w:proofErr w:type="gramEnd"/>
      <w:r w:rsidR="00A85300">
        <w:rPr>
          <w:rFonts w:ascii="Times New Roman" w:eastAsia="Times New Roman" w:hAnsi="Times New Roman" w:cs="Times New Roman"/>
          <w:sz w:val="28"/>
          <w:szCs w:val="28"/>
          <w:lang w:eastAsia="en-GB"/>
        </w:rPr>
        <w:t xml:space="preserve"> can point to the fact that they remain liable on a subrogated basis, to reimburse the claimant, who then holds the sums on trust for his own insurers, and they are not “reducing” the direct liability they owe, merely preventing a further liability from accruing.</w:t>
      </w:r>
      <w:r w:rsidR="007B0610">
        <w:rPr>
          <w:rFonts w:ascii="Times New Roman" w:eastAsia="Times New Roman" w:hAnsi="Times New Roman" w:cs="Times New Roman"/>
          <w:sz w:val="28"/>
          <w:szCs w:val="28"/>
          <w:lang w:eastAsia="en-GB"/>
        </w:rPr>
        <w:t xml:space="preserve"> Whether this point will be taken and argued to appeal, remains one of the more interesting issues in credit hire.</w:t>
      </w:r>
    </w:p>
    <w:p w:rsidR="00A85300" w:rsidRPr="00A85300" w:rsidRDefault="00A85300" w:rsidP="009A75A9">
      <w:pPr>
        <w:spacing w:before="100" w:beforeAutospacing="1" w:after="100" w:afterAutospacing="1" w:line="480" w:lineRule="auto"/>
        <w:rPr>
          <w:rFonts w:ascii="Times New Roman" w:eastAsia="Times New Roman" w:hAnsi="Times New Roman" w:cs="Times New Roman"/>
          <w:sz w:val="28"/>
          <w:szCs w:val="28"/>
          <w:lang w:eastAsia="en-GB"/>
        </w:rPr>
      </w:pPr>
    </w:p>
    <w:sectPr w:rsidR="00A85300" w:rsidRPr="00A853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D1" w:rsidRDefault="008502D1" w:rsidP="00C47F48">
      <w:pPr>
        <w:spacing w:after="0" w:line="240" w:lineRule="auto"/>
      </w:pPr>
      <w:r>
        <w:separator/>
      </w:r>
    </w:p>
  </w:endnote>
  <w:endnote w:type="continuationSeparator" w:id="0">
    <w:p w:rsidR="008502D1" w:rsidRDefault="008502D1" w:rsidP="00C4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19566"/>
      <w:docPartObj>
        <w:docPartGallery w:val="Page Numbers (Bottom of Page)"/>
        <w:docPartUnique/>
      </w:docPartObj>
    </w:sdtPr>
    <w:sdtEndPr>
      <w:rPr>
        <w:noProof/>
      </w:rPr>
    </w:sdtEndPr>
    <w:sdtContent>
      <w:p w:rsidR="0049063F" w:rsidRDefault="0049063F">
        <w:pPr>
          <w:pStyle w:val="Footer"/>
          <w:jc w:val="center"/>
        </w:pPr>
        <w:r>
          <w:fldChar w:fldCharType="begin"/>
        </w:r>
        <w:r>
          <w:instrText xml:space="preserve"> PAGE   \* MERGEFORMAT </w:instrText>
        </w:r>
        <w:r>
          <w:fldChar w:fldCharType="separate"/>
        </w:r>
        <w:r w:rsidR="00D74270">
          <w:rPr>
            <w:noProof/>
          </w:rPr>
          <w:t>20</w:t>
        </w:r>
        <w:r>
          <w:rPr>
            <w:noProof/>
          </w:rPr>
          <w:fldChar w:fldCharType="end"/>
        </w:r>
      </w:p>
    </w:sdtContent>
  </w:sdt>
  <w:p w:rsidR="0049063F" w:rsidRDefault="00490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D1" w:rsidRDefault="008502D1" w:rsidP="00C47F48">
      <w:pPr>
        <w:spacing w:after="0" w:line="240" w:lineRule="auto"/>
      </w:pPr>
      <w:r>
        <w:separator/>
      </w:r>
    </w:p>
  </w:footnote>
  <w:footnote w:type="continuationSeparator" w:id="0">
    <w:p w:rsidR="008502D1" w:rsidRDefault="008502D1" w:rsidP="00C47F48">
      <w:pPr>
        <w:spacing w:after="0" w:line="240" w:lineRule="auto"/>
      </w:pPr>
      <w:r>
        <w:continuationSeparator/>
      </w:r>
    </w:p>
  </w:footnote>
  <w:footnote w:id="1">
    <w:p w:rsidR="00C47F48" w:rsidRDefault="00C47F48">
      <w:pPr>
        <w:pStyle w:val="FootnoteText"/>
      </w:pPr>
      <w:r>
        <w:rPr>
          <w:rStyle w:val="FootnoteReference"/>
        </w:rPr>
        <w:footnoteRef/>
      </w:r>
      <w:r>
        <w:t xml:space="preserve"> Barrister at law, 24 The Ropewalk, Nottingham, NG1 5EF (0115) 947 2581  </w:t>
      </w:r>
      <w:hyperlink r:id="rId1" w:history="1">
        <w:r w:rsidRPr="00B560F8">
          <w:rPr>
            <w:rStyle w:val="Hyperlink"/>
          </w:rPr>
          <w:t>andrewhogan@ropewalk.co.uk</w:t>
        </w:r>
      </w:hyperlink>
      <w:r>
        <w:t xml:space="preserve"> </w:t>
      </w:r>
    </w:p>
  </w:footnote>
  <w:footnote w:id="2">
    <w:p w:rsidR="003A7F24" w:rsidRDefault="003A7F24">
      <w:pPr>
        <w:pStyle w:val="FootnoteText"/>
      </w:pPr>
      <w:r>
        <w:rPr>
          <w:rStyle w:val="FootnoteReference"/>
        </w:rPr>
        <w:footnoteRef/>
      </w:r>
      <w:r>
        <w:t xml:space="preserve"> (1874-75) L R 10 Ex 1</w:t>
      </w:r>
    </w:p>
  </w:footnote>
  <w:footnote w:id="3">
    <w:p w:rsidR="005C1878" w:rsidRDefault="005C1878">
      <w:pPr>
        <w:pStyle w:val="FootnoteText"/>
      </w:pPr>
      <w:r>
        <w:rPr>
          <w:rStyle w:val="FootnoteReference"/>
        </w:rPr>
        <w:footnoteRef/>
      </w:r>
      <w:r>
        <w:t xml:space="preserve"> </w:t>
      </w:r>
      <w:r w:rsidRPr="005C1878">
        <w:t>[1950] 2 K B 43</w:t>
      </w:r>
    </w:p>
  </w:footnote>
  <w:footnote w:id="4">
    <w:p w:rsidR="00680C56" w:rsidRDefault="00680C56">
      <w:pPr>
        <w:pStyle w:val="FootnoteText"/>
      </w:pPr>
      <w:r>
        <w:rPr>
          <w:rStyle w:val="FootnoteReference"/>
        </w:rPr>
        <w:footnoteRef/>
      </w:r>
      <w:r>
        <w:t xml:space="preserve"> </w:t>
      </w:r>
      <w:r w:rsidR="003063A0">
        <w:t>[1970] 1 AC 1</w:t>
      </w:r>
    </w:p>
  </w:footnote>
  <w:footnote w:id="5">
    <w:p w:rsidR="00454BBF" w:rsidRDefault="00454BBF">
      <w:pPr>
        <w:pStyle w:val="FootnoteText"/>
      </w:pPr>
      <w:r>
        <w:rPr>
          <w:rStyle w:val="FootnoteReference"/>
        </w:rPr>
        <w:footnoteRef/>
      </w:r>
      <w:r>
        <w:t xml:space="preserve"> At page 14</w:t>
      </w:r>
    </w:p>
  </w:footnote>
  <w:footnote w:id="6">
    <w:p w:rsidR="005C1878" w:rsidRDefault="005C1878">
      <w:pPr>
        <w:pStyle w:val="FootnoteText"/>
      </w:pPr>
      <w:r>
        <w:rPr>
          <w:rStyle w:val="FootnoteReference"/>
        </w:rPr>
        <w:footnoteRef/>
      </w:r>
      <w:r>
        <w:t xml:space="preserve"> </w:t>
      </w:r>
      <w:r w:rsidRPr="005C1878">
        <w:t>[2002] 1 AC 384</w:t>
      </w:r>
    </w:p>
  </w:footnote>
  <w:footnote w:id="7">
    <w:p w:rsidR="00F2290C" w:rsidRDefault="00F2290C">
      <w:pPr>
        <w:pStyle w:val="FootnoteText"/>
      </w:pPr>
      <w:r>
        <w:rPr>
          <w:rStyle w:val="FootnoteReference"/>
        </w:rPr>
        <w:footnoteRef/>
      </w:r>
      <w:r>
        <w:t xml:space="preserve"> See </w:t>
      </w:r>
      <w:r w:rsidRPr="00F2290C">
        <w:rPr>
          <w:u w:val="single"/>
        </w:rPr>
        <w:t>Compensation versus punishment in damages awards</w:t>
      </w:r>
      <w:r>
        <w:t xml:space="preserve"> 28 Modern Law Review page 629 Harvey McGregor</w:t>
      </w:r>
    </w:p>
  </w:footnote>
  <w:footnote w:id="8">
    <w:p w:rsidR="00F2290C" w:rsidRDefault="00F2290C">
      <w:pPr>
        <w:pStyle w:val="FootnoteText"/>
      </w:pPr>
      <w:r>
        <w:rPr>
          <w:rStyle w:val="FootnoteReference"/>
        </w:rPr>
        <w:footnoteRef/>
      </w:r>
      <w:r>
        <w:t xml:space="preserve"> [2003] QB 36</w:t>
      </w:r>
    </w:p>
  </w:footnote>
  <w:footnote w:id="9">
    <w:p w:rsidR="009A75A9" w:rsidRDefault="009A75A9">
      <w:pPr>
        <w:pStyle w:val="FootnoteText"/>
      </w:pPr>
      <w:r>
        <w:rPr>
          <w:rStyle w:val="FootnoteReference"/>
        </w:rPr>
        <w:footnoteRef/>
      </w:r>
      <w:r>
        <w:t xml:space="preserve"> [2007] EWCA </w:t>
      </w:r>
      <w:proofErr w:type="spellStart"/>
      <w:r>
        <w:t>Civ</w:t>
      </w:r>
      <w:proofErr w:type="spellEnd"/>
      <w:r>
        <w:t xml:space="preserve"> 923</w:t>
      </w:r>
    </w:p>
  </w:footnote>
  <w:footnote w:id="10">
    <w:p w:rsidR="00BC31F7" w:rsidRDefault="00BC31F7">
      <w:pPr>
        <w:pStyle w:val="FootnoteText"/>
      </w:pPr>
      <w:r>
        <w:rPr>
          <w:rStyle w:val="FootnoteReference"/>
        </w:rPr>
        <w:footnoteRef/>
      </w:r>
      <w:r>
        <w:t xml:space="preserve"> [2009] EWCA </w:t>
      </w:r>
      <w:proofErr w:type="spellStart"/>
      <w:r>
        <w:t>Civ</w:t>
      </w:r>
      <w:proofErr w:type="spellEnd"/>
      <w:r>
        <w:t xml:space="preserve"> 580</w:t>
      </w:r>
    </w:p>
  </w:footnote>
  <w:footnote w:id="11">
    <w:p w:rsidR="000441DE" w:rsidRDefault="000441DE">
      <w:pPr>
        <w:pStyle w:val="FootnoteText"/>
      </w:pPr>
      <w:r>
        <w:rPr>
          <w:rStyle w:val="FootnoteReference"/>
        </w:rPr>
        <w:footnoteRef/>
      </w:r>
      <w:r>
        <w:t xml:space="preserve"> 7</w:t>
      </w:r>
      <w:r w:rsidRPr="000441DE">
        <w:rPr>
          <w:vertAlign w:val="superscript"/>
        </w:rPr>
        <w:t>th</w:t>
      </w:r>
      <w:r>
        <w:t xml:space="preserve"> February 2005 HH Judge </w:t>
      </w:r>
      <w:proofErr w:type="spellStart"/>
      <w:r>
        <w:t>Meston</w:t>
      </w:r>
      <w:proofErr w:type="spellEnd"/>
      <w:r>
        <w:t xml:space="preserve"> QC</w:t>
      </w:r>
    </w:p>
  </w:footnote>
  <w:footnote w:id="12">
    <w:p w:rsidR="009A75A9" w:rsidRDefault="009A75A9">
      <w:pPr>
        <w:pStyle w:val="FootnoteText"/>
      </w:pPr>
      <w:r>
        <w:rPr>
          <w:rStyle w:val="FootnoteReference"/>
        </w:rPr>
        <w:footnoteRef/>
      </w:r>
      <w:r>
        <w:t xml:space="preserve"> There are other decisions to like effect, but this decision is the most widely recounted example.</w:t>
      </w:r>
    </w:p>
  </w:footnote>
  <w:footnote w:id="13">
    <w:p w:rsidR="00556DC9" w:rsidRDefault="00556DC9">
      <w:pPr>
        <w:pStyle w:val="FootnoteText"/>
      </w:pPr>
      <w:r>
        <w:rPr>
          <w:rStyle w:val="FootnoteReference"/>
        </w:rPr>
        <w:footnoteRef/>
      </w:r>
      <w:r>
        <w:t xml:space="preserve"> [2011] EWHC 2020</w:t>
      </w:r>
    </w:p>
  </w:footnote>
  <w:footnote w:id="14">
    <w:p w:rsidR="00556DC9" w:rsidRDefault="00556DC9">
      <w:pPr>
        <w:pStyle w:val="FootnoteText"/>
      </w:pPr>
      <w:r>
        <w:rPr>
          <w:rStyle w:val="FootnoteReference"/>
        </w:rPr>
        <w:footnoteRef/>
      </w:r>
      <w:r>
        <w:t xml:space="preserve"> See for example paragraph 29 of the judgment of HH Judge Mackie QC</w:t>
      </w:r>
    </w:p>
  </w:footnote>
  <w:footnote w:id="15">
    <w:p w:rsidR="009A75A9" w:rsidRDefault="009A75A9">
      <w:pPr>
        <w:pStyle w:val="FootnoteText"/>
      </w:pPr>
      <w:r>
        <w:rPr>
          <w:rStyle w:val="FootnoteReference"/>
        </w:rPr>
        <w:footnoteRef/>
      </w:r>
      <w:r>
        <w:t xml:space="preserve"> </w:t>
      </w:r>
      <w:proofErr w:type="spellStart"/>
      <w:r>
        <w:t>Eg</w:t>
      </w:r>
      <w:proofErr w:type="spellEnd"/>
      <w:r>
        <w:t xml:space="preserve"> </w:t>
      </w:r>
      <w:proofErr w:type="spellStart"/>
      <w:r w:rsidRPr="009A75A9">
        <w:rPr>
          <w:u w:val="single"/>
        </w:rPr>
        <w:t>Mcmullen.v.Gibney</w:t>
      </w:r>
      <w:proofErr w:type="spellEnd"/>
      <w:r w:rsidRPr="009A75A9">
        <w:rPr>
          <w:u w:val="single"/>
        </w:rPr>
        <w:t xml:space="preserve"> and </w:t>
      </w:r>
      <w:proofErr w:type="spellStart"/>
      <w:r w:rsidRPr="009A75A9">
        <w:rPr>
          <w:u w:val="single"/>
        </w:rPr>
        <w:t>Gibney</w:t>
      </w:r>
      <w:proofErr w:type="spellEnd"/>
      <w:r w:rsidRPr="009A75A9">
        <w:rPr>
          <w:u w:val="single"/>
        </w:rPr>
        <w:t xml:space="preserve"> </w:t>
      </w:r>
      <w:r>
        <w:t>[1999] NIQB 1</w:t>
      </w:r>
    </w:p>
  </w:footnote>
  <w:footnote w:id="16">
    <w:p w:rsidR="009714BC" w:rsidRDefault="009714BC">
      <w:pPr>
        <w:pStyle w:val="FootnoteText"/>
      </w:pPr>
      <w:r>
        <w:rPr>
          <w:rStyle w:val="FootnoteReference"/>
        </w:rPr>
        <w:footnoteRef/>
      </w:r>
      <w:r>
        <w:t xml:space="preserve"> For an interesting but extreme view see Personal Responsibility and the Law of Torts by Douglas H Cook American University Law Review volume 45: page 1245 et </w:t>
      </w:r>
      <w:proofErr w:type="spellStart"/>
      <w:r>
        <w:t>seq</w:t>
      </w:r>
      <w:proofErr w:type="spellEnd"/>
    </w:p>
  </w:footnote>
  <w:footnote w:id="17">
    <w:p w:rsidR="009714BC" w:rsidRDefault="009714BC">
      <w:pPr>
        <w:pStyle w:val="FootnoteText"/>
      </w:pPr>
      <w:r>
        <w:rPr>
          <w:rStyle w:val="FootnoteReference"/>
        </w:rPr>
        <w:footnoteRef/>
      </w:r>
      <w:r>
        <w:t xml:space="preserve"> See The Collateral Source Rule and its Abolition: An Economic Perspective by Marshall and Fitzgerald at page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AC6"/>
    <w:multiLevelType w:val="multilevel"/>
    <w:tmpl w:val="4FFA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32B37"/>
    <w:multiLevelType w:val="multilevel"/>
    <w:tmpl w:val="4A92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86"/>
    </w:lvlOverride>
  </w:num>
  <w:num w:numId="2">
    <w:abstractNumId w:val="0"/>
    <w:lvlOverride w:ilvl="0">
      <w:startOverride w:val="87"/>
    </w:lvlOverride>
  </w:num>
  <w:num w:numId="3">
    <w:abstractNumId w:val="0"/>
    <w:lvlOverride w:ilvl="0">
      <w:startOverride w:val="88"/>
    </w:lvlOverride>
  </w:num>
  <w:num w:numId="4">
    <w:abstractNumId w:val="0"/>
    <w:lvlOverride w:ilvl="0">
      <w:startOverride w:val="89"/>
    </w:lvlOverride>
  </w:num>
  <w:num w:numId="5">
    <w:abstractNumId w:val="0"/>
    <w:lvlOverride w:ilvl="0">
      <w:startOverride w:val="90"/>
    </w:lvlOverride>
  </w:num>
  <w:num w:numId="6">
    <w:abstractNumId w:val="0"/>
    <w:lvlOverride w:ilvl="0">
      <w:startOverride w:val="91"/>
    </w:lvlOverride>
  </w:num>
  <w:num w:numId="7">
    <w:abstractNumId w:val="0"/>
    <w:lvlOverride w:ilvl="0">
      <w:startOverride w:val="92"/>
    </w:lvlOverride>
  </w:num>
  <w:num w:numId="8">
    <w:abstractNumId w:val="0"/>
    <w:lvlOverride w:ilvl="0">
      <w:startOverride w:val="93"/>
    </w:lvlOverride>
  </w:num>
  <w:num w:numId="9">
    <w:abstractNumId w:val="0"/>
    <w:lvlOverride w:ilvl="0">
      <w:startOverride w:val="94"/>
    </w:lvlOverride>
  </w:num>
  <w:num w:numId="10">
    <w:abstractNumId w:val="0"/>
    <w:lvlOverride w:ilvl="0">
      <w:startOverride w:val="95"/>
    </w:lvlOverride>
  </w:num>
  <w:num w:numId="11">
    <w:abstractNumId w:val="1"/>
    <w:lvlOverride w:ilvl="0">
      <w:startOverride w:val="12"/>
    </w:lvlOverride>
  </w:num>
  <w:num w:numId="12">
    <w:abstractNumId w:val="1"/>
    <w:lvlOverride w:ilvl="0">
      <w:startOverride w:val="13"/>
    </w:lvlOverride>
  </w:num>
  <w:num w:numId="13">
    <w:abstractNumId w:val="1"/>
    <w:lvlOverride w:ilvl="0">
      <w:startOverride w:val="14"/>
    </w:lvlOverride>
  </w:num>
  <w:num w:numId="14">
    <w:abstractNumId w:val="1"/>
    <w:lvlOverride w:ilvl="0">
      <w:startOverride w:val="15"/>
    </w:lvlOverride>
  </w:num>
  <w:num w:numId="15">
    <w:abstractNumId w:val="1"/>
    <w:lvlOverride w:ilvl="0">
      <w:startOverride w:val="16"/>
    </w:lvlOverride>
  </w:num>
  <w:num w:numId="16">
    <w:abstractNumId w:val="1"/>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48"/>
    <w:rsid w:val="000441DE"/>
    <w:rsid w:val="001871A6"/>
    <w:rsid w:val="00276431"/>
    <w:rsid w:val="002D0FB4"/>
    <w:rsid w:val="003063A0"/>
    <w:rsid w:val="003A7F24"/>
    <w:rsid w:val="00454BBF"/>
    <w:rsid w:val="0049063F"/>
    <w:rsid w:val="004E5697"/>
    <w:rsid w:val="00556DC9"/>
    <w:rsid w:val="005C1878"/>
    <w:rsid w:val="0067544F"/>
    <w:rsid w:val="00680C56"/>
    <w:rsid w:val="00723A64"/>
    <w:rsid w:val="0078600D"/>
    <w:rsid w:val="007B0610"/>
    <w:rsid w:val="00840A1F"/>
    <w:rsid w:val="00847F62"/>
    <w:rsid w:val="008502D1"/>
    <w:rsid w:val="00894444"/>
    <w:rsid w:val="008A7CA9"/>
    <w:rsid w:val="008C1BD8"/>
    <w:rsid w:val="008C436B"/>
    <w:rsid w:val="009714BC"/>
    <w:rsid w:val="009A75A9"/>
    <w:rsid w:val="009D5AA6"/>
    <w:rsid w:val="00A4033E"/>
    <w:rsid w:val="00A85300"/>
    <w:rsid w:val="00B101D0"/>
    <w:rsid w:val="00B32FCC"/>
    <w:rsid w:val="00BC31F7"/>
    <w:rsid w:val="00C47F48"/>
    <w:rsid w:val="00C66183"/>
    <w:rsid w:val="00D504CA"/>
    <w:rsid w:val="00D74270"/>
    <w:rsid w:val="00F0028F"/>
    <w:rsid w:val="00F2290C"/>
    <w:rsid w:val="00F442A3"/>
    <w:rsid w:val="00F5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F48"/>
    <w:rPr>
      <w:sz w:val="20"/>
      <w:szCs w:val="20"/>
    </w:rPr>
  </w:style>
  <w:style w:type="character" w:styleId="FootnoteReference">
    <w:name w:val="footnote reference"/>
    <w:basedOn w:val="DefaultParagraphFont"/>
    <w:uiPriority w:val="99"/>
    <w:semiHidden/>
    <w:unhideWhenUsed/>
    <w:rsid w:val="00C47F48"/>
    <w:rPr>
      <w:vertAlign w:val="superscript"/>
    </w:rPr>
  </w:style>
  <w:style w:type="character" w:styleId="Hyperlink">
    <w:name w:val="Hyperlink"/>
    <w:basedOn w:val="DefaultParagraphFont"/>
    <w:uiPriority w:val="99"/>
    <w:unhideWhenUsed/>
    <w:rsid w:val="00C47F48"/>
    <w:rPr>
      <w:color w:val="0000FF" w:themeColor="hyperlink"/>
      <w:u w:val="single"/>
    </w:rPr>
  </w:style>
  <w:style w:type="paragraph" w:styleId="Header">
    <w:name w:val="header"/>
    <w:basedOn w:val="Normal"/>
    <w:link w:val="HeaderChar"/>
    <w:uiPriority w:val="99"/>
    <w:unhideWhenUsed/>
    <w:rsid w:val="0049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63F"/>
  </w:style>
  <w:style w:type="paragraph" w:styleId="Footer">
    <w:name w:val="footer"/>
    <w:basedOn w:val="Normal"/>
    <w:link w:val="FooterChar"/>
    <w:uiPriority w:val="99"/>
    <w:unhideWhenUsed/>
    <w:rsid w:val="0049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F48"/>
    <w:rPr>
      <w:sz w:val="20"/>
      <w:szCs w:val="20"/>
    </w:rPr>
  </w:style>
  <w:style w:type="character" w:styleId="FootnoteReference">
    <w:name w:val="footnote reference"/>
    <w:basedOn w:val="DefaultParagraphFont"/>
    <w:uiPriority w:val="99"/>
    <w:semiHidden/>
    <w:unhideWhenUsed/>
    <w:rsid w:val="00C47F48"/>
    <w:rPr>
      <w:vertAlign w:val="superscript"/>
    </w:rPr>
  </w:style>
  <w:style w:type="character" w:styleId="Hyperlink">
    <w:name w:val="Hyperlink"/>
    <w:basedOn w:val="DefaultParagraphFont"/>
    <w:uiPriority w:val="99"/>
    <w:unhideWhenUsed/>
    <w:rsid w:val="00C47F48"/>
    <w:rPr>
      <w:color w:val="0000FF" w:themeColor="hyperlink"/>
      <w:u w:val="single"/>
    </w:rPr>
  </w:style>
  <w:style w:type="paragraph" w:styleId="Header">
    <w:name w:val="header"/>
    <w:basedOn w:val="Normal"/>
    <w:link w:val="HeaderChar"/>
    <w:uiPriority w:val="99"/>
    <w:unhideWhenUsed/>
    <w:rsid w:val="0049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63F"/>
  </w:style>
  <w:style w:type="paragraph" w:styleId="Footer">
    <w:name w:val="footer"/>
    <w:basedOn w:val="Normal"/>
    <w:link w:val="FooterChar"/>
    <w:uiPriority w:val="99"/>
    <w:unhideWhenUsed/>
    <w:rsid w:val="0049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68474">
      <w:bodyDiv w:val="1"/>
      <w:marLeft w:val="0"/>
      <w:marRight w:val="0"/>
      <w:marTop w:val="0"/>
      <w:marBottom w:val="0"/>
      <w:divBdr>
        <w:top w:val="none" w:sz="0" w:space="0" w:color="auto"/>
        <w:left w:val="none" w:sz="0" w:space="0" w:color="auto"/>
        <w:bottom w:val="none" w:sz="0" w:space="0" w:color="auto"/>
        <w:right w:val="none" w:sz="0" w:space="0" w:color="auto"/>
      </w:divBdr>
    </w:div>
    <w:div w:id="1918897216">
      <w:bodyDiv w:val="1"/>
      <w:marLeft w:val="0"/>
      <w:marRight w:val="0"/>
      <w:marTop w:val="0"/>
      <w:marBottom w:val="0"/>
      <w:divBdr>
        <w:top w:val="none" w:sz="0" w:space="0" w:color="auto"/>
        <w:left w:val="none" w:sz="0" w:space="0" w:color="auto"/>
        <w:bottom w:val="none" w:sz="0" w:space="0" w:color="auto"/>
        <w:right w:val="none" w:sz="0" w:space="0" w:color="auto"/>
      </w:divBdr>
    </w:div>
    <w:div w:id="2146659419">
      <w:bodyDiv w:val="1"/>
      <w:marLeft w:val="0"/>
      <w:marRight w:val="0"/>
      <w:marTop w:val="0"/>
      <w:marBottom w:val="0"/>
      <w:divBdr>
        <w:top w:val="none" w:sz="0" w:space="0" w:color="auto"/>
        <w:left w:val="none" w:sz="0" w:space="0" w:color="auto"/>
        <w:bottom w:val="none" w:sz="0" w:space="0" w:color="auto"/>
        <w:right w:val="none" w:sz="0" w:space="0" w:color="auto"/>
      </w:divBdr>
      <w:divsChild>
        <w:div w:id="553349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0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790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ilii.org/uk/cases/UKHL/1994/4.html" TargetMode="External"/><Relationship Id="rId4" Type="http://schemas.microsoft.com/office/2007/relationships/stylesWithEffects" Target="stylesWithEffects.xml"/><Relationship Id="rId9" Type="http://schemas.openxmlformats.org/officeDocument/2006/relationships/hyperlink" Target="http://www.bailii.org/ew/cases/EWCA/Civ/1973/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ndrewhogan@ropewa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40A8-34B8-49D4-B37C-086AB367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HOGAN</cp:lastModifiedBy>
  <cp:revision>3</cp:revision>
  <dcterms:created xsi:type="dcterms:W3CDTF">2016-02-21T17:29:00Z</dcterms:created>
  <dcterms:modified xsi:type="dcterms:W3CDTF">2016-02-21T17:32:00Z</dcterms:modified>
</cp:coreProperties>
</file>